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86D" w:rsidRPr="00C7186D" w:rsidRDefault="00C7186D" w:rsidP="00C7186D">
      <w:pPr>
        <w:widowControl w:val="0"/>
        <w:tabs>
          <w:tab w:val="left" w:pos="360"/>
          <w:tab w:val="left" w:pos="720"/>
          <w:tab w:val="left" w:pos="1080"/>
          <w:tab w:val="left" w:leader="dot" w:pos="7920"/>
        </w:tabs>
        <w:spacing w:after="120"/>
        <w:jc w:val="center"/>
        <w:rPr>
          <w:b/>
          <w:sz w:val="20"/>
        </w:rPr>
      </w:pPr>
    </w:p>
    <w:p w:rsidR="008561AB" w:rsidRPr="00144851" w:rsidRDefault="008561AB" w:rsidP="008561AB">
      <w:pPr>
        <w:spacing w:after="120"/>
        <w:rPr>
          <w:sz w:val="20"/>
        </w:rPr>
      </w:pPr>
      <w:bookmarkStart w:id="0" w:name="_GoBack"/>
      <w:bookmarkEnd w:id="0"/>
      <w:r w:rsidRPr="00144851">
        <w:rPr>
          <w:sz w:val="20"/>
        </w:rPr>
        <w:t>The following examples illustrate the format used in the permit to identify applicable permitting actions and regulations.</w:t>
      </w:r>
    </w:p>
    <w:p w:rsidR="008561AB" w:rsidRPr="00144851" w:rsidRDefault="008561AB" w:rsidP="008561AB">
      <w:pPr>
        <w:pStyle w:val="Heading4"/>
        <w:jc w:val="left"/>
        <w:rPr>
          <w:caps/>
          <w:smallCaps w:val="0"/>
          <w:sz w:val="20"/>
        </w:rPr>
      </w:pPr>
      <w:r w:rsidRPr="00144851">
        <w:rPr>
          <w:caps/>
          <w:smallCaps w:val="0"/>
          <w:sz w:val="20"/>
        </w:rPr>
        <w:t>References to Previous Permitting Actions</w:t>
      </w:r>
    </w:p>
    <w:p w:rsidR="008561AB" w:rsidRPr="00144851" w:rsidRDefault="008561AB" w:rsidP="008561AB">
      <w:pPr>
        <w:spacing w:after="120"/>
        <w:rPr>
          <w:b/>
          <w:sz w:val="20"/>
        </w:rPr>
      </w:pPr>
      <w:r w:rsidRPr="00144851">
        <w:rPr>
          <w:b/>
          <w:sz w:val="20"/>
        </w:rPr>
        <w:t>Old Permit Numbers</w:t>
      </w:r>
    </w:p>
    <w:p w:rsidR="008561AB" w:rsidRPr="00144851" w:rsidRDefault="008561AB" w:rsidP="008561AB">
      <w:pPr>
        <w:spacing w:after="120"/>
        <w:rPr>
          <w:i/>
          <w:sz w:val="20"/>
        </w:rPr>
      </w:pPr>
      <w:r w:rsidRPr="00144851">
        <w:rPr>
          <w:i/>
          <w:sz w:val="20"/>
        </w:rPr>
        <w:t>Example</w:t>
      </w:r>
      <w:r w:rsidRPr="00144851">
        <w:rPr>
          <w:sz w:val="20"/>
        </w:rPr>
        <w:t>:</w:t>
      </w:r>
      <w:r w:rsidRPr="00144851">
        <w:rPr>
          <w:sz w:val="20"/>
        </w:rPr>
        <w:tab/>
        <w:t xml:space="preserve">Permit No. </w:t>
      </w:r>
      <w:proofErr w:type="gramStart"/>
      <w:r w:rsidRPr="00144851">
        <w:rPr>
          <w:sz w:val="20"/>
        </w:rPr>
        <w:t>AC50-123456 or Air Permit No.</w:t>
      </w:r>
      <w:proofErr w:type="gramEnd"/>
      <w:r w:rsidRPr="00144851">
        <w:rPr>
          <w:sz w:val="20"/>
        </w:rPr>
        <w:t xml:space="preserve"> AO50-123456</w:t>
      </w:r>
    </w:p>
    <w:p w:rsidR="008561AB" w:rsidRPr="00144851" w:rsidRDefault="008561AB" w:rsidP="008561AB">
      <w:pPr>
        <w:spacing w:after="60"/>
        <w:rPr>
          <w:i/>
          <w:sz w:val="20"/>
        </w:rPr>
      </w:pPr>
      <w:r w:rsidRPr="00144851">
        <w:rPr>
          <w:i/>
          <w:sz w:val="20"/>
        </w:rPr>
        <w:t>Where:</w:t>
      </w:r>
      <w:r w:rsidRPr="00144851">
        <w:rPr>
          <w:i/>
          <w:sz w:val="20"/>
        </w:rPr>
        <w:tab/>
      </w:r>
      <w:r w:rsidRPr="00144851">
        <w:rPr>
          <w:i/>
          <w:sz w:val="20"/>
        </w:rPr>
        <w:tab/>
      </w:r>
      <w:r w:rsidRPr="00144851">
        <w:rPr>
          <w:iCs/>
          <w:sz w:val="20"/>
        </w:rPr>
        <w:t>“</w:t>
      </w:r>
      <w:r w:rsidRPr="00144851">
        <w:rPr>
          <w:sz w:val="20"/>
        </w:rPr>
        <w:t>AC” identifies the permit as an Air Construction Permit</w:t>
      </w:r>
    </w:p>
    <w:p w:rsidR="008561AB" w:rsidRPr="00144851" w:rsidRDefault="008561AB" w:rsidP="008561AB">
      <w:pPr>
        <w:spacing w:after="60"/>
        <w:ind w:left="1080"/>
        <w:rPr>
          <w:sz w:val="20"/>
        </w:rPr>
      </w:pPr>
      <w:r w:rsidRPr="00144851">
        <w:rPr>
          <w:sz w:val="20"/>
        </w:rPr>
        <w:t>“AO” identifies the permit as an Air Operation Permit</w:t>
      </w:r>
    </w:p>
    <w:p w:rsidR="008561AB" w:rsidRPr="00144851" w:rsidRDefault="008561AB" w:rsidP="008561AB">
      <w:pPr>
        <w:spacing w:after="120"/>
        <w:ind w:left="1584" w:hanging="504"/>
        <w:rPr>
          <w:sz w:val="20"/>
        </w:rPr>
      </w:pPr>
      <w:r w:rsidRPr="00144851">
        <w:rPr>
          <w:sz w:val="20"/>
        </w:rPr>
        <w:t>“123456” identifies the specific permit project number</w:t>
      </w:r>
    </w:p>
    <w:p w:rsidR="008561AB" w:rsidRPr="00144851" w:rsidRDefault="008561AB" w:rsidP="008561AB">
      <w:pPr>
        <w:spacing w:before="120" w:after="120"/>
        <w:rPr>
          <w:b/>
          <w:sz w:val="20"/>
        </w:rPr>
      </w:pPr>
      <w:r w:rsidRPr="00144851">
        <w:rPr>
          <w:b/>
          <w:sz w:val="20"/>
        </w:rPr>
        <w:t>New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Nos. 099-2222-001-AC, 099-2222-001-AF, 099-2222-001-AO, or 099-2222-001-AV</w:t>
      </w:r>
    </w:p>
    <w:p w:rsidR="008561AB" w:rsidRPr="00144851" w:rsidRDefault="008561AB" w:rsidP="008561AB">
      <w:pPr>
        <w:spacing w:after="120"/>
        <w:rPr>
          <w:i/>
          <w:sz w:val="20"/>
        </w:rPr>
      </w:pPr>
      <w:r w:rsidRPr="00144851">
        <w:rPr>
          <w:i/>
          <w:sz w:val="20"/>
        </w:rPr>
        <w:t>Where</w:t>
      </w:r>
      <w:r w:rsidRPr="00144851">
        <w:rPr>
          <w:sz w:val="20"/>
        </w:rPr>
        <w:t>:</w:t>
      </w:r>
      <w:r w:rsidRPr="00144851">
        <w:rPr>
          <w:sz w:val="20"/>
        </w:rPr>
        <w:tab/>
      </w:r>
      <w:r w:rsidRPr="00144851">
        <w:rPr>
          <w:sz w:val="20"/>
        </w:rPr>
        <w:tab/>
        <w:t xml:space="preserve">“099” represents the specific </w:t>
      </w:r>
      <w:smartTag w:uri="urn:schemas-microsoft-com:office:smarttags" w:element="place">
        <w:smartTag w:uri="urn:schemas-microsoft-com:office:smarttags" w:element="PlaceType">
          <w:r w:rsidRPr="00144851">
            <w:rPr>
              <w:sz w:val="20"/>
            </w:rPr>
            <w:t>county</w:t>
          </w:r>
        </w:smartTag>
        <w:r w:rsidRPr="00144851">
          <w:rPr>
            <w:sz w:val="20"/>
          </w:rPr>
          <w:t xml:space="preserve"> </w:t>
        </w:r>
        <w:smartTag w:uri="urn:schemas-microsoft-com:office:smarttags" w:element="PlaceName">
          <w:r w:rsidRPr="00144851">
            <w:rPr>
              <w:sz w:val="20"/>
            </w:rPr>
            <w:t>ID</w:t>
          </w:r>
        </w:smartTag>
      </w:smartTag>
      <w:r w:rsidRPr="00144851">
        <w:rPr>
          <w:sz w:val="20"/>
        </w:rPr>
        <w:t xml:space="preserve"> number in which the project is located</w:t>
      </w:r>
    </w:p>
    <w:p w:rsidR="008561AB" w:rsidRPr="00144851" w:rsidRDefault="008561AB" w:rsidP="008561AB">
      <w:pPr>
        <w:spacing w:after="120"/>
        <w:ind w:left="1080"/>
        <w:rPr>
          <w:sz w:val="20"/>
        </w:rPr>
      </w:pPr>
      <w:r w:rsidRPr="00144851">
        <w:rPr>
          <w:sz w:val="20"/>
        </w:rPr>
        <w:t>“2222” represents the specific facility ID number</w:t>
      </w:r>
    </w:p>
    <w:p w:rsidR="008561AB" w:rsidRPr="00144851" w:rsidRDefault="008561AB" w:rsidP="008561AB">
      <w:pPr>
        <w:spacing w:after="120"/>
        <w:ind w:left="1080"/>
        <w:rPr>
          <w:sz w:val="20"/>
        </w:rPr>
      </w:pPr>
      <w:r w:rsidRPr="00144851">
        <w:rPr>
          <w:sz w:val="20"/>
        </w:rPr>
        <w:t>“001”identifies the specific permit project</w:t>
      </w:r>
    </w:p>
    <w:p w:rsidR="008561AB" w:rsidRPr="00144851" w:rsidRDefault="008561AB" w:rsidP="008561AB">
      <w:pPr>
        <w:spacing w:after="120"/>
        <w:ind w:left="1080"/>
        <w:rPr>
          <w:i/>
          <w:sz w:val="20"/>
        </w:rPr>
      </w:pPr>
      <w:r w:rsidRPr="00144851">
        <w:rPr>
          <w:sz w:val="20"/>
        </w:rPr>
        <w:t>“AC” identifies the permit as an air construction permit</w:t>
      </w:r>
    </w:p>
    <w:p w:rsidR="008561AB" w:rsidRPr="00144851" w:rsidRDefault="008561AB" w:rsidP="008561AB">
      <w:pPr>
        <w:spacing w:after="120"/>
        <w:ind w:left="1080"/>
        <w:rPr>
          <w:i/>
          <w:sz w:val="20"/>
        </w:rPr>
      </w:pPr>
      <w:r w:rsidRPr="00144851">
        <w:rPr>
          <w:sz w:val="20"/>
        </w:rPr>
        <w:t>“AF” identifies the permit as a minor federally enforceable state operation permit</w:t>
      </w:r>
    </w:p>
    <w:p w:rsidR="008561AB" w:rsidRPr="00144851" w:rsidRDefault="008561AB" w:rsidP="008561AB">
      <w:pPr>
        <w:spacing w:after="120"/>
        <w:ind w:left="1080"/>
        <w:rPr>
          <w:i/>
          <w:sz w:val="20"/>
        </w:rPr>
      </w:pPr>
      <w:r w:rsidRPr="00144851">
        <w:rPr>
          <w:sz w:val="20"/>
        </w:rPr>
        <w:t>“AO” identifies the permit as a minor source air operation permit</w:t>
      </w:r>
    </w:p>
    <w:p w:rsidR="008561AB" w:rsidRPr="00144851" w:rsidRDefault="008561AB" w:rsidP="008561AB">
      <w:pPr>
        <w:spacing w:after="120"/>
        <w:ind w:left="1080"/>
        <w:rPr>
          <w:sz w:val="20"/>
        </w:rPr>
      </w:pPr>
      <w:r w:rsidRPr="00144851">
        <w:rPr>
          <w:sz w:val="20"/>
        </w:rPr>
        <w:t>“AV” identifies the permit as a Title V Major Source Air Operation Permit</w:t>
      </w:r>
    </w:p>
    <w:p w:rsidR="008561AB" w:rsidRPr="00144851" w:rsidRDefault="008561AB" w:rsidP="008561AB">
      <w:pPr>
        <w:spacing w:before="120" w:after="120"/>
        <w:rPr>
          <w:b/>
          <w:sz w:val="20"/>
        </w:rPr>
      </w:pPr>
      <w:r w:rsidRPr="00144851">
        <w:rPr>
          <w:b/>
          <w:sz w:val="20"/>
        </w:rPr>
        <w:t>PSD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 PSD-FL-317</w:t>
      </w:r>
    </w:p>
    <w:p w:rsidR="008561AB" w:rsidRPr="00144851" w:rsidRDefault="008561AB" w:rsidP="008561AB">
      <w:pPr>
        <w:spacing w:after="120"/>
        <w:ind w:left="1080" w:hanging="1080"/>
        <w:rPr>
          <w:i/>
          <w:sz w:val="20"/>
        </w:rPr>
      </w:pPr>
      <w:r w:rsidRPr="00144851">
        <w:rPr>
          <w:i/>
          <w:sz w:val="20"/>
        </w:rPr>
        <w:t>Where</w:t>
      </w:r>
      <w:r w:rsidRPr="00144851">
        <w:rPr>
          <w:sz w:val="20"/>
        </w:rPr>
        <w:t>:</w:t>
      </w:r>
      <w:r w:rsidRPr="00144851">
        <w:rPr>
          <w:sz w:val="20"/>
        </w:rPr>
        <w:tab/>
        <w:t>“PSD” means issued pursuant to the Prevention of Significant Deterioration of Air Quality</w:t>
      </w:r>
    </w:p>
    <w:p w:rsidR="008561AB" w:rsidRPr="00144851" w:rsidRDefault="008561AB" w:rsidP="008561AB">
      <w:pPr>
        <w:spacing w:after="120"/>
        <w:ind w:left="1080"/>
        <w:rPr>
          <w:sz w:val="20"/>
        </w:rPr>
      </w:pPr>
      <w:r w:rsidRPr="00144851">
        <w:rPr>
          <w:sz w:val="20"/>
        </w:rPr>
        <w:t xml:space="preserve">“FL” means that the permit was issued by the State of </w:t>
      </w:r>
      <w:smartTag w:uri="urn:schemas-microsoft-com:office:smarttags" w:element="place">
        <w:smartTag w:uri="urn:schemas-microsoft-com:office:smarttags" w:element="State">
          <w:r w:rsidRPr="00144851">
            <w:rPr>
              <w:sz w:val="20"/>
            </w:rPr>
            <w:t>Florida</w:t>
          </w:r>
        </w:smartTag>
      </w:smartTag>
    </w:p>
    <w:p w:rsidR="008561AB" w:rsidRPr="00144851" w:rsidRDefault="008561AB" w:rsidP="008561AB">
      <w:pPr>
        <w:spacing w:after="120"/>
        <w:ind w:left="1080"/>
        <w:rPr>
          <w:sz w:val="20"/>
        </w:rPr>
      </w:pPr>
      <w:r w:rsidRPr="00144851">
        <w:rPr>
          <w:sz w:val="20"/>
        </w:rPr>
        <w:t>“317” identifies the specific permit project</w:t>
      </w:r>
    </w:p>
    <w:p w:rsidR="008561AB" w:rsidRPr="00144851" w:rsidRDefault="008561AB" w:rsidP="008561AB">
      <w:pPr>
        <w:pStyle w:val="Heading4"/>
        <w:spacing w:before="120"/>
        <w:jc w:val="left"/>
        <w:rPr>
          <w:bCs/>
          <w:caps/>
          <w:smallCaps w:val="0"/>
          <w:sz w:val="20"/>
        </w:rPr>
      </w:pPr>
      <w:r w:rsidRPr="00144851">
        <w:rPr>
          <w:bCs/>
          <w:caps/>
          <w:smallCaps w:val="0"/>
          <w:sz w:val="20"/>
        </w:rPr>
        <w:t>Rule Citation Formats</w:t>
      </w:r>
    </w:p>
    <w:p w:rsidR="008561AB" w:rsidRPr="00144851" w:rsidRDefault="008561AB" w:rsidP="008561AB">
      <w:pPr>
        <w:spacing w:after="120"/>
        <w:rPr>
          <w:b/>
          <w:sz w:val="20"/>
          <w:lang w:val="pt-BR"/>
        </w:rPr>
      </w:pPr>
      <w:r w:rsidRPr="00144851">
        <w:rPr>
          <w:b/>
          <w:sz w:val="20"/>
          <w:lang w:val="pt-BR"/>
        </w:rPr>
        <w:t>Florida Administrative Code (F.A.C.)</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[Rule 62-213.205, F.A.C.]</w:t>
      </w:r>
    </w:p>
    <w:p w:rsidR="008561AB" w:rsidRPr="00144851" w:rsidRDefault="008561AB" w:rsidP="008561AB">
      <w:pPr>
        <w:spacing w:after="120"/>
        <w:rPr>
          <w:sz w:val="20"/>
        </w:rPr>
      </w:pPr>
      <w:r w:rsidRPr="00144851">
        <w:rPr>
          <w:i/>
          <w:sz w:val="20"/>
        </w:rPr>
        <w:t>Means</w:t>
      </w:r>
      <w:r w:rsidRPr="00144851">
        <w:rPr>
          <w:sz w:val="20"/>
        </w:rPr>
        <w:t>:</w:t>
      </w:r>
      <w:r w:rsidRPr="00144851">
        <w:rPr>
          <w:sz w:val="20"/>
        </w:rPr>
        <w:tab/>
      </w:r>
      <w:r w:rsidRPr="00144851">
        <w:rPr>
          <w:sz w:val="20"/>
        </w:rPr>
        <w:tab/>
        <w:t xml:space="preserve">Title 62, Chapter 213, Rule 205 of the </w:t>
      </w:r>
      <w:smartTag w:uri="urn:schemas-microsoft-com:office:smarttags" w:element="place">
        <w:smartTag w:uri="urn:schemas-microsoft-com:office:smarttags" w:element="State">
          <w:r w:rsidRPr="00144851">
            <w:rPr>
              <w:sz w:val="20"/>
            </w:rPr>
            <w:t>Florida</w:t>
          </w:r>
        </w:smartTag>
      </w:smartTag>
      <w:r w:rsidRPr="00144851">
        <w:rPr>
          <w:sz w:val="20"/>
        </w:rPr>
        <w:t xml:space="preserve"> Administrative Code</w:t>
      </w:r>
    </w:p>
    <w:p w:rsidR="008561AB" w:rsidRPr="00144851" w:rsidRDefault="008561AB" w:rsidP="008561AB">
      <w:pPr>
        <w:pStyle w:val="BodyText3"/>
        <w:spacing w:before="120"/>
        <w:jc w:val="left"/>
        <w:rPr>
          <w:b/>
          <w:sz w:val="20"/>
        </w:rPr>
      </w:pPr>
      <w:r w:rsidRPr="00144851">
        <w:rPr>
          <w:b/>
          <w:sz w:val="20"/>
        </w:rPr>
        <w:t>Code of Federal Regulations (CFR)</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[40 CFR 60.7]</w:t>
      </w:r>
    </w:p>
    <w:p w:rsidR="008561AB" w:rsidRPr="00144851" w:rsidRDefault="008561AB" w:rsidP="008561AB">
      <w:pPr>
        <w:rPr>
          <w:sz w:val="20"/>
        </w:rPr>
      </w:pPr>
      <w:r w:rsidRPr="00144851">
        <w:rPr>
          <w:i/>
          <w:sz w:val="20"/>
        </w:rPr>
        <w:t>Means</w:t>
      </w:r>
      <w:r w:rsidRPr="00144851">
        <w:rPr>
          <w:sz w:val="20"/>
        </w:rPr>
        <w:t>:</w:t>
      </w:r>
      <w:r w:rsidRPr="00144851">
        <w:rPr>
          <w:sz w:val="20"/>
        </w:rPr>
        <w:tab/>
      </w:r>
      <w:r w:rsidRPr="00144851">
        <w:rPr>
          <w:sz w:val="20"/>
        </w:rPr>
        <w:tab/>
        <w:t>Title 40, Part 60, Section 7</w:t>
      </w:r>
    </w:p>
    <w:p w:rsidR="005967AA" w:rsidRPr="00144851" w:rsidRDefault="005967AA" w:rsidP="00E101D7">
      <w:pPr>
        <w:widowControl w:val="0"/>
        <w:spacing w:after="60"/>
        <w:jc w:val="both"/>
        <w:rPr>
          <w:sz w:val="20"/>
        </w:rPr>
      </w:pPr>
    </w:p>
    <w:p w:rsidR="007F282C" w:rsidRPr="00144851" w:rsidRDefault="007F282C" w:rsidP="007F282C">
      <w:pPr>
        <w:widowControl w:val="0"/>
        <w:tabs>
          <w:tab w:val="left" w:pos="504"/>
          <w:tab w:val="left" w:pos="720"/>
          <w:tab w:val="left" w:pos="1008"/>
          <w:tab w:val="left" w:leader="dot" w:pos="9504"/>
        </w:tabs>
        <w:spacing w:after="120"/>
        <w:rPr>
          <w:b/>
          <w:iCs/>
          <w:caps/>
          <w:sz w:val="20"/>
        </w:rPr>
      </w:pPr>
      <w:r w:rsidRPr="00144851">
        <w:rPr>
          <w:sz w:val="20"/>
        </w:rPr>
        <w:br w:type="page"/>
      </w:r>
      <w:r w:rsidRPr="00144851">
        <w:rPr>
          <w:b/>
          <w:iCs/>
          <w:caps/>
          <w:sz w:val="20"/>
        </w:rPr>
        <w:lastRenderedPageBreak/>
        <w:t>Glossary</w:t>
      </w:r>
    </w:p>
    <w:tbl>
      <w:tblPr>
        <w:tblW w:w="0" w:type="auto"/>
        <w:tblCellMar>
          <w:top w:w="43" w:type="dxa"/>
          <w:left w:w="72" w:type="dxa"/>
          <w:bottom w:w="43" w:type="dxa"/>
          <w:right w:w="72" w:type="dxa"/>
        </w:tblCellMar>
        <w:tblLook w:val="01E0"/>
      </w:tblPr>
      <w:tblGrid>
        <w:gridCol w:w="5201"/>
        <w:gridCol w:w="4879"/>
      </w:tblGrid>
      <w:tr w:rsidR="007F282C" w:rsidRPr="00144851" w:rsidTr="00B21898">
        <w:tc>
          <w:tcPr>
            <w:tcW w:w="5201" w:type="dxa"/>
          </w:tcPr>
          <w:p w:rsidR="007F282C" w:rsidRPr="00144851" w:rsidRDefault="007F282C" w:rsidP="00B21898">
            <w:pPr>
              <w:tabs>
                <w:tab w:val="left" w:pos="9540"/>
              </w:tabs>
              <w:spacing w:after="100"/>
              <w:jc w:val="both"/>
              <w:rPr>
                <w:sz w:val="20"/>
              </w:rPr>
            </w:pPr>
            <w:r w:rsidRPr="00144851">
              <w:rPr>
                <w:b/>
                <w:sz w:val="20"/>
              </w:rPr>
              <w:t>° F</w:t>
            </w:r>
            <w:r w:rsidRPr="00144851">
              <w:rPr>
                <w:sz w:val="20"/>
              </w:rPr>
              <w:t>:  degrees Fahrenheit</w:t>
            </w:r>
          </w:p>
          <w:p w:rsidR="007F282C" w:rsidRPr="00144851" w:rsidRDefault="007F282C" w:rsidP="00B21898">
            <w:pPr>
              <w:spacing w:after="100"/>
              <w:jc w:val="both"/>
              <w:rPr>
                <w:sz w:val="20"/>
              </w:rPr>
            </w:pPr>
            <w:r w:rsidRPr="00144851">
              <w:rPr>
                <w:b/>
                <w:sz w:val="20"/>
              </w:rPr>
              <w:t>acfm</w:t>
            </w:r>
            <w:r w:rsidRPr="00144851">
              <w:rPr>
                <w:sz w:val="20"/>
              </w:rPr>
              <w:t>:  actual cubic feet per minute</w:t>
            </w:r>
          </w:p>
          <w:p w:rsidR="007F282C" w:rsidRPr="00144851" w:rsidRDefault="007F282C" w:rsidP="00B21898">
            <w:pPr>
              <w:spacing w:after="100"/>
              <w:jc w:val="both"/>
              <w:rPr>
                <w:sz w:val="20"/>
              </w:rPr>
            </w:pPr>
            <w:r w:rsidRPr="00144851">
              <w:rPr>
                <w:b/>
                <w:sz w:val="20"/>
              </w:rPr>
              <w:t>ARMS</w:t>
            </w:r>
            <w:r w:rsidRPr="00144851">
              <w:rPr>
                <w:sz w:val="20"/>
              </w:rPr>
              <w:t>:  Air Resource Management System</w:t>
            </w:r>
          </w:p>
          <w:p w:rsidR="007F282C" w:rsidRPr="00144851" w:rsidRDefault="007F282C" w:rsidP="00B21898">
            <w:pPr>
              <w:spacing w:after="100"/>
              <w:jc w:val="both"/>
              <w:rPr>
                <w:sz w:val="20"/>
              </w:rPr>
            </w:pPr>
            <w:r w:rsidRPr="00144851">
              <w:rPr>
                <w:b/>
                <w:sz w:val="20"/>
              </w:rPr>
              <w:t>BACT</w:t>
            </w:r>
            <w:r w:rsidRPr="00144851">
              <w:rPr>
                <w:sz w:val="20"/>
              </w:rPr>
              <w:t>:  best available control technology</w:t>
            </w:r>
          </w:p>
          <w:p w:rsidR="007F282C" w:rsidRPr="00144851" w:rsidRDefault="007F282C" w:rsidP="00B21898">
            <w:pPr>
              <w:spacing w:after="100"/>
              <w:jc w:val="both"/>
              <w:rPr>
                <w:sz w:val="20"/>
              </w:rPr>
            </w:pPr>
            <w:r w:rsidRPr="00144851">
              <w:rPr>
                <w:b/>
                <w:sz w:val="20"/>
              </w:rPr>
              <w:t>Btu</w:t>
            </w:r>
            <w:r w:rsidRPr="00144851">
              <w:rPr>
                <w:sz w:val="20"/>
              </w:rPr>
              <w:t>:  British thermal units</w:t>
            </w:r>
          </w:p>
          <w:p w:rsidR="007F282C" w:rsidRPr="00144851" w:rsidRDefault="007F282C" w:rsidP="00B21898">
            <w:pPr>
              <w:spacing w:after="100"/>
              <w:jc w:val="both"/>
              <w:rPr>
                <w:sz w:val="20"/>
              </w:rPr>
            </w:pPr>
            <w:smartTag w:uri="urn:schemas-microsoft-com:office:smarttags" w:element="place">
              <w:r w:rsidRPr="00144851">
                <w:rPr>
                  <w:b/>
                  <w:sz w:val="20"/>
                </w:rPr>
                <w:t>CAM</w:t>
              </w:r>
            </w:smartTag>
            <w:r w:rsidRPr="00144851">
              <w:rPr>
                <w:sz w:val="20"/>
              </w:rPr>
              <w:t>:  compliance assurance monitoring</w:t>
            </w:r>
          </w:p>
          <w:p w:rsidR="007F282C" w:rsidRPr="00144851" w:rsidRDefault="007F282C" w:rsidP="00B21898">
            <w:pPr>
              <w:spacing w:after="100"/>
              <w:jc w:val="both"/>
              <w:rPr>
                <w:sz w:val="20"/>
              </w:rPr>
            </w:pPr>
            <w:r w:rsidRPr="00144851">
              <w:rPr>
                <w:b/>
                <w:sz w:val="20"/>
              </w:rPr>
              <w:t>CEMS</w:t>
            </w:r>
            <w:r w:rsidRPr="00144851">
              <w:rPr>
                <w:sz w:val="20"/>
              </w:rPr>
              <w:t>:  continuous emissions monitoring system</w:t>
            </w:r>
          </w:p>
          <w:p w:rsidR="007F282C" w:rsidRPr="00144851" w:rsidRDefault="007F282C" w:rsidP="00B21898">
            <w:pPr>
              <w:spacing w:after="100"/>
              <w:jc w:val="both"/>
              <w:rPr>
                <w:sz w:val="20"/>
              </w:rPr>
            </w:pPr>
            <w:r w:rsidRPr="00144851">
              <w:rPr>
                <w:b/>
                <w:sz w:val="20"/>
              </w:rPr>
              <w:t>cfm</w:t>
            </w:r>
            <w:r w:rsidRPr="00144851">
              <w:rPr>
                <w:sz w:val="20"/>
              </w:rPr>
              <w:t>:  cubic feet per minute</w:t>
            </w:r>
          </w:p>
          <w:p w:rsidR="007F282C" w:rsidRPr="00144851" w:rsidRDefault="007F282C" w:rsidP="00B21898">
            <w:pPr>
              <w:spacing w:after="100"/>
              <w:jc w:val="both"/>
              <w:rPr>
                <w:sz w:val="20"/>
              </w:rPr>
            </w:pPr>
            <w:r w:rsidRPr="00144851">
              <w:rPr>
                <w:b/>
                <w:sz w:val="20"/>
              </w:rPr>
              <w:t>CFR</w:t>
            </w:r>
            <w:r w:rsidRPr="00144851">
              <w:rPr>
                <w:sz w:val="20"/>
              </w:rPr>
              <w:t>:  Code of Federal Regulations</w:t>
            </w:r>
          </w:p>
          <w:p w:rsidR="007F282C" w:rsidRPr="00144851" w:rsidRDefault="007F282C" w:rsidP="00B21898">
            <w:pPr>
              <w:spacing w:after="100"/>
              <w:jc w:val="both"/>
              <w:rPr>
                <w:sz w:val="20"/>
              </w:rPr>
            </w:pPr>
            <w:r w:rsidRPr="00144851">
              <w:rPr>
                <w:b/>
                <w:sz w:val="20"/>
              </w:rPr>
              <w:t>CO</w:t>
            </w:r>
            <w:r w:rsidRPr="00144851">
              <w:rPr>
                <w:sz w:val="20"/>
              </w:rPr>
              <w:t>:  carbon monoxide</w:t>
            </w:r>
          </w:p>
          <w:p w:rsidR="007F282C" w:rsidRPr="00144851" w:rsidRDefault="007F282C" w:rsidP="00B21898">
            <w:pPr>
              <w:spacing w:after="100"/>
              <w:jc w:val="both"/>
              <w:rPr>
                <w:sz w:val="20"/>
              </w:rPr>
            </w:pPr>
            <w:r w:rsidRPr="00144851">
              <w:rPr>
                <w:b/>
                <w:sz w:val="20"/>
              </w:rPr>
              <w:t>COMS</w:t>
            </w:r>
            <w:r w:rsidRPr="00144851">
              <w:rPr>
                <w:sz w:val="20"/>
              </w:rPr>
              <w:t>:  continuous opacity monitoring system</w:t>
            </w:r>
          </w:p>
          <w:p w:rsidR="007F282C" w:rsidRPr="00144851" w:rsidRDefault="007F282C" w:rsidP="00B21898">
            <w:pPr>
              <w:spacing w:after="100"/>
              <w:jc w:val="both"/>
              <w:rPr>
                <w:sz w:val="20"/>
              </w:rPr>
            </w:pPr>
            <w:r w:rsidRPr="00144851">
              <w:rPr>
                <w:b/>
                <w:sz w:val="20"/>
              </w:rPr>
              <w:t>DEP</w:t>
            </w:r>
            <w:r w:rsidRPr="00144851">
              <w:rPr>
                <w:sz w:val="20"/>
              </w:rPr>
              <w:t>:  Department of Environmental Protection</w:t>
            </w:r>
          </w:p>
          <w:p w:rsidR="007F282C" w:rsidRPr="00144851" w:rsidRDefault="007F282C" w:rsidP="00B21898">
            <w:pPr>
              <w:spacing w:after="100"/>
              <w:jc w:val="both"/>
              <w:rPr>
                <w:sz w:val="20"/>
              </w:rPr>
            </w:pPr>
            <w:r w:rsidRPr="00144851">
              <w:rPr>
                <w:b/>
                <w:sz w:val="20"/>
              </w:rPr>
              <w:t>Department</w:t>
            </w:r>
            <w:r w:rsidRPr="00144851">
              <w:rPr>
                <w:sz w:val="20"/>
              </w:rPr>
              <w:t>:  Department of Environmental Protection</w:t>
            </w:r>
          </w:p>
          <w:p w:rsidR="007F282C" w:rsidRPr="00144851" w:rsidRDefault="007F282C" w:rsidP="00B21898">
            <w:pPr>
              <w:spacing w:after="100"/>
              <w:jc w:val="both"/>
              <w:rPr>
                <w:sz w:val="20"/>
              </w:rPr>
            </w:pPr>
            <w:r w:rsidRPr="00144851">
              <w:rPr>
                <w:b/>
                <w:sz w:val="20"/>
              </w:rPr>
              <w:t>dscfm</w:t>
            </w:r>
            <w:r w:rsidRPr="00144851">
              <w:rPr>
                <w:sz w:val="20"/>
              </w:rPr>
              <w:t>:  dry standard cubic feet per minute</w:t>
            </w:r>
          </w:p>
          <w:p w:rsidR="007F282C" w:rsidRPr="00144851" w:rsidRDefault="007F282C" w:rsidP="00B21898">
            <w:pPr>
              <w:spacing w:after="100"/>
              <w:jc w:val="both"/>
              <w:rPr>
                <w:sz w:val="20"/>
              </w:rPr>
            </w:pPr>
            <w:r w:rsidRPr="00144851">
              <w:rPr>
                <w:b/>
                <w:sz w:val="20"/>
              </w:rPr>
              <w:t>EPA</w:t>
            </w:r>
            <w:r w:rsidRPr="00144851">
              <w:rPr>
                <w:sz w:val="20"/>
              </w:rPr>
              <w:t>:  Environmental Protection Agency</w:t>
            </w:r>
          </w:p>
          <w:p w:rsidR="007F282C" w:rsidRPr="00144851" w:rsidRDefault="007F282C" w:rsidP="00B21898">
            <w:pPr>
              <w:spacing w:after="100"/>
              <w:jc w:val="both"/>
              <w:rPr>
                <w:sz w:val="20"/>
              </w:rPr>
            </w:pPr>
            <w:r w:rsidRPr="00144851">
              <w:rPr>
                <w:b/>
                <w:sz w:val="20"/>
              </w:rPr>
              <w:t>ESP</w:t>
            </w:r>
            <w:r w:rsidRPr="00144851">
              <w:rPr>
                <w:sz w:val="20"/>
              </w:rPr>
              <w:t>:  electrostatic precipitator</w:t>
            </w:r>
          </w:p>
          <w:p w:rsidR="007F282C" w:rsidRPr="00144851" w:rsidRDefault="007F282C" w:rsidP="00B21898">
            <w:pPr>
              <w:spacing w:after="100"/>
              <w:jc w:val="both"/>
              <w:rPr>
                <w:sz w:val="20"/>
              </w:rPr>
            </w:pPr>
            <w:r w:rsidRPr="00144851">
              <w:rPr>
                <w:b/>
                <w:sz w:val="20"/>
              </w:rPr>
              <w:t>EU</w:t>
            </w:r>
            <w:r w:rsidRPr="00144851">
              <w:rPr>
                <w:sz w:val="20"/>
              </w:rPr>
              <w:t>:  emissions unit</w:t>
            </w:r>
          </w:p>
          <w:p w:rsidR="007F282C" w:rsidRPr="00144851" w:rsidRDefault="007F282C" w:rsidP="00B21898">
            <w:pPr>
              <w:spacing w:after="100"/>
              <w:jc w:val="both"/>
              <w:rPr>
                <w:sz w:val="20"/>
              </w:rPr>
            </w:pPr>
            <w:r w:rsidRPr="00144851">
              <w:rPr>
                <w:b/>
                <w:sz w:val="20"/>
              </w:rPr>
              <w:t>F.A.C.</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Administrative Code</w:t>
            </w:r>
          </w:p>
          <w:p w:rsidR="007F282C" w:rsidRPr="00144851" w:rsidRDefault="007F282C" w:rsidP="00B21898">
            <w:pPr>
              <w:spacing w:after="100"/>
              <w:jc w:val="both"/>
              <w:rPr>
                <w:sz w:val="20"/>
              </w:rPr>
            </w:pPr>
            <w:r w:rsidRPr="00144851">
              <w:rPr>
                <w:b/>
                <w:sz w:val="20"/>
              </w:rPr>
              <w:t>F.D.</w:t>
            </w:r>
            <w:r w:rsidRPr="00144851">
              <w:rPr>
                <w:sz w:val="20"/>
              </w:rPr>
              <w:t>:  forced draft</w:t>
            </w:r>
          </w:p>
          <w:p w:rsidR="007F282C" w:rsidRPr="00144851" w:rsidRDefault="007F282C" w:rsidP="00B21898">
            <w:pPr>
              <w:spacing w:after="100"/>
              <w:jc w:val="both"/>
              <w:rPr>
                <w:sz w:val="20"/>
              </w:rPr>
            </w:pPr>
            <w:r w:rsidRPr="00144851">
              <w:rPr>
                <w:b/>
                <w:sz w:val="20"/>
              </w:rPr>
              <w:t>F.S.</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Statutes</w:t>
            </w:r>
          </w:p>
          <w:p w:rsidR="007F282C" w:rsidRPr="00144851" w:rsidRDefault="007F282C" w:rsidP="00B21898">
            <w:pPr>
              <w:spacing w:after="100"/>
              <w:jc w:val="both"/>
              <w:rPr>
                <w:sz w:val="20"/>
              </w:rPr>
            </w:pPr>
            <w:r w:rsidRPr="00144851">
              <w:rPr>
                <w:b/>
                <w:sz w:val="20"/>
              </w:rPr>
              <w:t>FGR</w:t>
            </w:r>
            <w:r w:rsidRPr="00144851">
              <w:rPr>
                <w:sz w:val="20"/>
              </w:rPr>
              <w:t>:  flue gas recirculation</w:t>
            </w:r>
          </w:p>
          <w:p w:rsidR="007F282C" w:rsidRPr="00144851" w:rsidRDefault="007F282C" w:rsidP="00B21898">
            <w:pPr>
              <w:spacing w:after="100"/>
              <w:jc w:val="both"/>
              <w:rPr>
                <w:sz w:val="20"/>
              </w:rPr>
            </w:pPr>
            <w:r w:rsidRPr="00144851">
              <w:rPr>
                <w:b/>
                <w:sz w:val="20"/>
              </w:rPr>
              <w:t>Fl</w:t>
            </w:r>
            <w:r w:rsidRPr="00144851">
              <w:rPr>
                <w:sz w:val="20"/>
              </w:rPr>
              <w:t>:  fluoride</w:t>
            </w:r>
          </w:p>
          <w:p w:rsidR="007F282C" w:rsidRPr="00144851" w:rsidRDefault="007F282C" w:rsidP="00B21898">
            <w:pPr>
              <w:spacing w:after="100"/>
              <w:jc w:val="both"/>
              <w:rPr>
                <w:sz w:val="20"/>
              </w:rPr>
            </w:pPr>
            <w:r w:rsidRPr="00144851">
              <w:rPr>
                <w:b/>
                <w:sz w:val="20"/>
              </w:rPr>
              <w:t>ft</w:t>
            </w:r>
            <w:r w:rsidRPr="00144851">
              <w:rPr>
                <w:b/>
                <w:sz w:val="20"/>
                <w:vertAlign w:val="superscript"/>
              </w:rPr>
              <w:t>2</w:t>
            </w:r>
            <w:r w:rsidRPr="00144851">
              <w:rPr>
                <w:sz w:val="20"/>
              </w:rPr>
              <w:t>:  square feet</w:t>
            </w:r>
          </w:p>
          <w:p w:rsidR="007F282C" w:rsidRPr="00144851" w:rsidRDefault="007F282C" w:rsidP="00B21898">
            <w:pPr>
              <w:spacing w:after="100"/>
              <w:jc w:val="both"/>
              <w:rPr>
                <w:sz w:val="20"/>
              </w:rPr>
            </w:pPr>
            <w:r w:rsidRPr="00144851">
              <w:rPr>
                <w:b/>
                <w:sz w:val="20"/>
              </w:rPr>
              <w:t>ft</w:t>
            </w:r>
            <w:r w:rsidRPr="00144851">
              <w:rPr>
                <w:b/>
                <w:sz w:val="20"/>
                <w:vertAlign w:val="superscript"/>
              </w:rPr>
              <w:t>3</w:t>
            </w:r>
            <w:r w:rsidRPr="00144851">
              <w:rPr>
                <w:sz w:val="20"/>
              </w:rPr>
              <w:t>:  cubic feet</w:t>
            </w:r>
          </w:p>
          <w:p w:rsidR="007F282C" w:rsidRPr="00144851" w:rsidRDefault="007F282C" w:rsidP="00B21898">
            <w:pPr>
              <w:spacing w:after="100"/>
              <w:jc w:val="both"/>
              <w:rPr>
                <w:sz w:val="20"/>
              </w:rPr>
            </w:pPr>
            <w:r w:rsidRPr="00144851">
              <w:rPr>
                <w:b/>
                <w:sz w:val="20"/>
              </w:rPr>
              <w:t>gpm</w:t>
            </w:r>
            <w:r w:rsidRPr="00144851">
              <w:rPr>
                <w:sz w:val="20"/>
              </w:rPr>
              <w:t>:  gallons per minute</w:t>
            </w:r>
          </w:p>
          <w:p w:rsidR="007F282C" w:rsidRPr="00144851" w:rsidRDefault="007F282C" w:rsidP="00B21898">
            <w:pPr>
              <w:spacing w:after="100"/>
              <w:jc w:val="both"/>
              <w:rPr>
                <w:sz w:val="20"/>
              </w:rPr>
            </w:pPr>
            <w:r w:rsidRPr="00144851">
              <w:rPr>
                <w:b/>
                <w:sz w:val="20"/>
              </w:rPr>
              <w:t>gr</w:t>
            </w:r>
            <w:r w:rsidRPr="00144851">
              <w:rPr>
                <w:sz w:val="20"/>
              </w:rPr>
              <w:t>:  grains</w:t>
            </w:r>
          </w:p>
          <w:p w:rsidR="007F282C" w:rsidRPr="00144851" w:rsidRDefault="007F282C" w:rsidP="00B21898">
            <w:pPr>
              <w:spacing w:after="100"/>
              <w:jc w:val="both"/>
              <w:rPr>
                <w:sz w:val="20"/>
              </w:rPr>
            </w:pPr>
            <w:r w:rsidRPr="00144851">
              <w:rPr>
                <w:b/>
                <w:sz w:val="20"/>
              </w:rPr>
              <w:t>HAP</w:t>
            </w:r>
            <w:r w:rsidRPr="00144851">
              <w:rPr>
                <w:sz w:val="20"/>
              </w:rPr>
              <w:t>:  hazardous air pollutant</w:t>
            </w:r>
          </w:p>
          <w:p w:rsidR="007F282C" w:rsidRPr="00144851" w:rsidRDefault="007F282C" w:rsidP="00B21898">
            <w:pPr>
              <w:spacing w:after="100"/>
              <w:jc w:val="both"/>
              <w:rPr>
                <w:sz w:val="20"/>
              </w:rPr>
            </w:pPr>
            <w:r w:rsidRPr="00144851">
              <w:rPr>
                <w:b/>
                <w:sz w:val="20"/>
              </w:rPr>
              <w:t>Hg</w:t>
            </w:r>
            <w:r w:rsidRPr="00144851">
              <w:rPr>
                <w:sz w:val="20"/>
              </w:rPr>
              <w:t>:  mercury</w:t>
            </w:r>
          </w:p>
          <w:p w:rsidR="007F282C" w:rsidRPr="00144851" w:rsidRDefault="007F282C" w:rsidP="00B21898">
            <w:pPr>
              <w:spacing w:after="100"/>
              <w:jc w:val="both"/>
              <w:rPr>
                <w:sz w:val="20"/>
              </w:rPr>
            </w:pPr>
            <w:r w:rsidRPr="00144851">
              <w:rPr>
                <w:b/>
                <w:sz w:val="20"/>
              </w:rPr>
              <w:t>I.D.</w:t>
            </w:r>
            <w:r w:rsidRPr="00144851">
              <w:rPr>
                <w:sz w:val="20"/>
              </w:rPr>
              <w:t>:  induced draft</w:t>
            </w:r>
          </w:p>
          <w:p w:rsidR="007F282C" w:rsidRPr="00144851" w:rsidRDefault="007F282C" w:rsidP="00B21898">
            <w:pPr>
              <w:spacing w:after="100"/>
              <w:jc w:val="both"/>
              <w:rPr>
                <w:sz w:val="20"/>
              </w:rPr>
            </w:pPr>
            <w:r w:rsidRPr="00144851">
              <w:rPr>
                <w:b/>
                <w:sz w:val="20"/>
              </w:rPr>
              <w:t>ID</w:t>
            </w:r>
            <w:r w:rsidRPr="00144851">
              <w:rPr>
                <w:sz w:val="20"/>
              </w:rPr>
              <w:t>:  identification</w:t>
            </w:r>
          </w:p>
          <w:p w:rsidR="007F282C" w:rsidRPr="00144851" w:rsidRDefault="007F282C" w:rsidP="00B21898">
            <w:pPr>
              <w:widowControl w:val="0"/>
              <w:tabs>
                <w:tab w:val="left" w:pos="504"/>
                <w:tab w:val="left" w:pos="720"/>
                <w:tab w:val="left" w:pos="1008"/>
                <w:tab w:val="left" w:leader="dot" w:pos="9504"/>
              </w:tabs>
              <w:spacing w:after="100"/>
              <w:rPr>
                <w:snapToGrid w:val="0"/>
                <w:sz w:val="20"/>
              </w:rPr>
            </w:pPr>
            <w:r w:rsidRPr="00144851">
              <w:rPr>
                <w:b/>
                <w:snapToGrid w:val="0"/>
                <w:sz w:val="20"/>
              </w:rPr>
              <w:t>kPa</w:t>
            </w:r>
            <w:r w:rsidRPr="00144851">
              <w:rPr>
                <w:snapToGrid w:val="0"/>
                <w:sz w:val="20"/>
              </w:rPr>
              <w:t>:  kilopascals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lb</w:t>
            </w:r>
            <w:r w:rsidRPr="00144851">
              <w:rPr>
                <w:sz w:val="20"/>
              </w:rPr>
              <w:t>:  pound</w:t>
            </w:r>
          </w:p>
        </w:tc>
        <w:tc>
          <w:tcPr>
            <w:tcW w:w="4879" w:type="dxa"/>
          </w:tcPr>
          <w:p w:rsidR="007F282C" w:rsidRPr="00144851" w:rsidRDefault="007F282C" w:rsidP="00B21898">
            <w:pPr>
              <w:spacing w:after="100"/>
              <w:jc w:val="both"/>
              <w:rPr>
                <w:sz w:val="20"/>
              </w:rPr>
            </w:pPr>
            <w:r w:rsidRPr="00144851">
              <w:rPr>
                <w:b/>
                <w:sz w:val="20"/>
              </w:rPr>
              <w:t>MACT</w:t>
            </w:r>
            <w:r w:rsidRPr="00144851">
              <w:rPr>
                <w:sz w:val="20"/>
              </w:rPr>
              <w:t>:  maximum achievable technology</w:t>
            </w:r>
          </w:p>
          <w:p w:rsidR="007F282C" w:rsidRPr="00144851" w:rsidRDefault="007F282C" w:rsidP="00B21898">
            <w:pPr>
              <w:spacing w:after="100"/>
              <w:jc w:val="both"/>
              <w:rPr>
                <w:sz w:val="20"/>
              </w:rPr>
            </w:pPr>
            <w:r w:rsidRPr="00144851">
              <w:rPr>
                <w:b/>
                <w:sz w:val="20"/>
              </w:rPr>
              <w:t>MMBtu</w:t>
            </w:r>
            <w:r w:rsidRPr="00144851">
              <w:rPr>
                <w:sz w:val="20"/>
              </w:rPr>
              <w:t>:  million British thermal units</w:t>
            </w:r>
          </w:p>
          <w:p w:rsidR="007F282C" w:rsidRPr="00144851" w:rsidRDefault="007F282C" w:rsidP="00B21898">
            <w:pPr>
              <w:spacing w:after="100"/>
              <w:jc w:val="both"/>
              <w:rPr>
                <w:sz w:val="20"/>
              </w:rPr>
            </w:pPr>
            <w:r w:rsidRPr="00144851">
              <w:rPr>
                <w:b/>
                <w:bCs/>
                <w:sz w:val="20"/>
              </w:rPr>
              <w:t>MSDS</w:t>
            </w:r>
            <w:r w:rsidRPr="00144851">
              <w:rPr>
                <w:bCs/>
                <w:sz w:val="20"/>
              </w:rPr>
              <w:t>:  material safety data sheets</w:t>
            </w:r>
          </w:p>
          <w:p w:rsidR="007F282C" w:rsidRPr="00144851" w:rsidRDefault="007F282C" w:rsidP="00B21898">
            <w:pPr>
              <w:spacing w:after="100"/>
              <w:jc w:val="both"/>
              <w:rPr>
                <w:sz w:val="20"/>
              </w:rPr>
            </w:pPr>
            <w:r w:rsidRPr="00144851">
              <w:rPr>
                <w:b/>
                <w:sz w:val="20"/>
              </w:rPr>
              <w:t>MW</w:t>
            </w:r>
            <w:r w:rsidRPr="00144851">
              <w:rPr>
                <w:sz w:val="20"/>
              </w:rPr>
              <w:t>:  megawatt</w:t>
            </w:r>
          </w:p>
          <w:p w:rsidR="007F282C" w:rsidRPr="00144851" w:rsidRDefault="007F282C" w:rsidP="00B21898">
            <w:pPr>
              <w:spacing w:after="100"/>
              <w:jc w:val="both"/>
              <w:rPr>
                <w:sz w:val="20"/>
              </w:rPr>
            </w:pPr>
            <w:r w:rsidRPr="00144851">
              <w:rPr>
                <w:b/>
                <w:sz w:val="20"/>
              </w:rPr>
              <w:t>NESHAP</w:t>
            </w:r>
            <w:r w:rsidRPr="00144851">
              <w:rPr>
                <w:sz w:val="20"/>
              </w:rPr>
              <w:t>:  National Emissions Standards for Hazardous Air Pollutants</w:t>
            </w:r>
          </w:p>
          <w:p w:rsidR="007F282C" w:rsidRPr="00144851" w:rsidRDefault="007F282C" w:rsidP="00B21898">
            <w:pPr>
              <w:spacing w:after="100"/>
              <w:jc w:val="both"/>
              <w:rPr>
                <w:sz w:val="20"/>
              </w:rPr>
            </w:pPr>
            <w:r w:rsidRPr="00144851">
              <w:rPr>
                <w:b/>
                <w:sz w:val="20"/>
              </w:rPr>
              <w:t>NO</w:t>
            </w:r>
            <w:r w:rsidRPr="00144851">
              <w:rPr>
                <w:b/>
                <w:sz w:val="20"/>
                <w:vertAlign w:val="subscript"/>
              </w:rPr>
              <w:t>X</w:t>
            </w:r>
            <w:r w:rsidRPr="00144851">
              <w:rPr>
                <w:sz w:val="20"/>
              </w:rPr>
              <w:t>:  nitrogen oxides</w:t>
            </w:r>
          </w:p>
          <w:p w:rsidR="007F282C" w:rsidRPr="00144851" w:rsidRDefault="007F282C" w:rsidP="00B21898">
            <w:pPr>
              <w:spacing w:after="100"/>
              <w:jc w:val="both"/>
              <w:rPr>
                <w:sz w:val="20"/>
              </w:rPr>
            </w:pPr>
            <w:r w:rsidRPr="00144851">
              <w:rPr>
                <w:b/>
                <w:sz w:val="20"/>
              </w:rPr>
              <w:t>NSPS</w:t>
            </w:r>
            <w:r w:rsidRPr="00144851">
              <w:rPr>
                <w:sz w:val="20"/>
              </w:rPr>
              <w:t>:  New Source Performance Standards</w:t>
            </w:r>
          </w:p>
          <w:p w:rsidR="007F282C" w:rsidRPr="00144851" w:rsidRDefault="007F282C" w:rsidP="00B21898">
            <w:pPr>
              <w:spacing w:after="100"/>
              <w:jc w:val="both"/>
              <w:rPr>
                <w:sz w:val="20"/>
              </w:rPr>
            </w:pPr>
            <w:r w:rsidRPr="00144851">
              <w:rPr>
                <w:b/>
                <w:sz w:val="20"/>
              </w:rPr>
              <w:t>O&amp;M</w:t>
            </w:r>
            <w:r w:rsidRPr="00144851">
              <w:rPr>
                <w:sz w:val="20"/>
              </w:rPr>
              <w:t>:  operation and maintenance</w:t>
            </w:r>
          </w:p>
          <w:p w:rsidR="007F282C" w:rsidRPr="00144851" w:rsidRDefault="007F282C" w:rsidP="00B21898">
            <w:pPr>
              <w:spacing w:after="100"/>
              <w:jc w:val="both"/>
              <w:rPr>
                <w:sz w:val="20"/>
              </w:rPr>
            </w:pPr>
            <w:r w:rsidRPr="00144851">
              <w:rPr>
                <w:b/>
                <w:sz w:val="20"/>
              </w:rPr>
              <w:t>O</w:t>
            </w:r>
            <w:r w:rsidRPr="00144851">
              <w:rPr>
                <w:b/>
                <w:sz w:val="20"/>
                <w:vertAlign w:val="subscript"/>
              </w:rPr>
              <w:t>2</w:t>
            </w:r>
            <w:r w:rsidRPr="00144851">
              <w:rPr>
                <w:sz w:val="20"/>
              </w:rPr>
              <w:t>:  oxygen</w:t>
            </w:r>
          </w:p>
          <w:p w:rsidR="007F282C" w:rsidRPr="00144851" w:rsidRDefault="007F282C" w:rsidP="00B21898">
            <w:pPr>
              <w:spacing w:after="100"/>
              <w:jc w:val="both"/>
              <w:rPr>
                <w:sz w:val="20"/>
              </w:rPr>
            </w:pPr>
            <w:r w:rsidRPr="00144851">
              <w:rPr>
                <w:b/>
                <w:sz w:val="20"/>
              </w:rPr>
              <w:t>Pb</w:t>
            </w:r>
            <w:r w:rsidRPr="00144851">
              <w:rPr>
                <w:sz w:val="20"/>
              </w:rPr>
              <w:t>:  lead</w:t>
            </w:r>
          </w:p>
          <w:p w:rsidR="007F282C" w:rsidRPr="00144851" w:rsidRDefault="007F282C" w:rsidP="00B21898">
            <w:pPr>
              <w:spacing w:after="100"/>
              <w:jc w:val="both"/>
              <w:rPr>
                <w:sz w:val="20"/>
              </w:rPr>
            </w:pPr>
            <w:r w:rsidRPr="00144851">
              <w:rPr>
                <w:b/>
                <w:sz w:val="20"/>
              </w:rPr>
              <w:t>PM</w:t>
            </w:r>
            <w:r w:rsidRPr="00144851">
              <w:rPr>
                <w:sz w:val="20"/>
              </w:rPr>
              <w:t>:  particulate matter</w:t>
            </w:r>
          </w:p>
          <w:p w:rsidR="007F282C" w:rsidRPr="00144851" w:rsidRDefault="007F282C" w:rsidP="00B21898">
            <w:pPr>
              <w:spacing w:after="100"/>
              <w:jc w:val="both"/>
              <w:rPr>
                <w:sz w:val="20"/>
              </w:rPr>
            </w:pPr>
            <w:r w:rsidRPr="00144851">
              <w:rPr>
                <w:b/>
                <w:sz w:val="20"/>
              </w:rPr>
              <w:t>PM</w:t>
            </w:r>
            <w:r w:rsidRPr="00144851">
              <w:rPr>
                <w:b/>
                <w:sz w:val="20"/>
                <w:vertAlign w:val="subscript"/>
              </w:rPr>
              <w:t>10</w:t>
            </w:r>
            <w:r w:rsidRPr="00144851">
              <w:rPr>
                <w:sz w:val="20"/>
              </w:rPr>
              <w:t>:  particulate matter ≤ 10 microns</w:t>
            </w:r>
          </w:p>
          <w:p w:rsidR="007F282C" w:rsidRPr="00144851" w:rsidRDefault="007F282C" w:rsidP="00B21898">
            <w:pPr>
              <w:spacing w:after="100"/>
              <w:jc w:val="both"/>
              <w:rPr>
                <w:sz w:val="20"/>
              </w:rPr>
            </w:pPr>
            <w:r w:rsidRPr="00144851">
              <w:rPr>
                <w:b/>
                <w:sz w:val="20"/>
              </w:rPr>
              <w:t>PSD</w:t>
            </w:r>
            <w:r w:rsidRPr="00144851">
              <w:rPr>
                <w:sz w:val="20"/>
              </w:rPr>
              <w:t>:  prevention of signifi9cant deterioration</w:t>
            </w:r>
          </w:p>
          <w:p w:rsidR="007F282C" w:rsidRPr="00144851" w:rsidRDefault="007F282C" w:rsidP="00B21898">
            <w:pPr>
              <w:spacing w:after="100"/>
              <w:jc w:val="both"/>
              <w:rPr>
                <w:sz w:val="20"/>
              </w:rPr>
            </w:pPr>
            <w:r w:rsidRPr="00144851">
              <w:rPr>
                <w:b/>
                <w:sz w:val="20"/>
              </w:rPr>
              <w:t>psi</w:t>
            </w:r>
            <w:r w:rsidRPr="00144851">
              <w:rPr>
                <w:sz w:val="20"/>
              </w:rPr>
              <w:t>:  pounds per square inch</w:t>
            </w:r>
          </w:p>
          <w:p w:rsidR="007F282C" w:rsidRPr="00144851" w:rsidRDefault="007F282C" w:rsidP="00B21898">
            <w:pPr>
              <w:spacing w:after="100"/>
              <w:jc w:val="both"/>
              <w:rPr>
                <w:sz w:val="20"/>
              </w:rPr>
            </w:pPr>
            <w:r w:rsidRPr="00144851">
              <w:rPr>
                <w:b/>
                <w:sz w:val="20"/>
              </w:rPr>
              <w:t>PTE</w:t>
            </w:r>
            <w:r w:rsidRPr="00144851">
              <w:rPr>
                <w:sz w:val="20"/>
              </w:rPr>
              <w:t>:  potential to emit</w:t>
            </w:r>
          </w:p>
          <w:p w:rsidR="007F282C" w:rsidRPr="00144851" w:rsidRDefault="007F282C" w:rsidP="00B21898">
            <w:pPr>
              <w:spacing w:after="100"/>
              <w:jc w:val="both"/>
              <w:rPr>
                <w:sz w:val="20"/>
              </w:rPr>
            </w:pPr>
            <w:r w:rsidRPr="00144851">
              <w:rPr>
                <w:b/>
                <w:sz w:val="20"/>
              </w:rPr>
              <w:t>RACT</w:t>
            </w:r>
            <w:r w:rsidRPr="00144851">
              <w:rPr>
                <w:sz w:val="20"/>
              </w:rPr>
              <w:t>:  reasonably available control technology</w:t>
            </w:r>
          </w:p>
          <w:p w:rsidR="007F282C" w:rsidRPr="00144851" w:rsidRDefault="007F282C" w:rsidP="00B21898">
            <w:pPr>
              <w:spacing w:after="100"/>
              <w:jc w:val="both"/>
              <w:rPr>
                <w:sz w:val="20"/>
              </w:rPr>
            </w:pPr>
            <w:r w:rsidRPr="00144851">
              <w:rPr>
                <w:b/>
                <w:sz w:val="20"/>
              </w:rPr>
              <w:t>RATA</w:t>
            </w:r>
            <w:r w:rsidRPr="00144851">
              <w:rPr>
                <w:sz w:val="20"/>
              </w:rPr>
              <w:t>:  relative accuracy test audit</w:t>
            </w:r>
          </w:p>
          <w:p w:rsidR="007F282C" w:rsidRPr="00144851" w:rsidRDefault="007F282C" w:rsidP="00B21898">
            <w:pPr>
              <w:spacing w:after="100"/>
              <w:jc w:val="both"/>
              <w:rPr>
                <w:sz w:val="20"/>
              </w:rPr>
            </w:pPr>
            <w:r w:rsidRPr="00144851">
              <w:rPr>
                <w:b/>
                <w:sz w:val="20"/>
              </w:rPr>
              <w:t>SAM</w:t>
            </w:r>
            <w:r w:rsidRPr="00144851">
              <w:rPr>
                <w:sz w:val="20"/>
              </w:rPr>
              <w:t>:  sulfuric acid mist</w:t>
            </w:r>
          </w:p>
          <w:p w:rsidR="007F282C" w:rsidRPr="00144851" w:rsidRDefault="007F282C" w:rsidP="00B21898">
            <w:pPr>
              <w:spacing w:after="100"/>
              <w:jc w:val="both"/>
              <w:rPr>
                <w:sz w:val="20"/>
              </w:rPr>
            </w:pPr>
            <w:r w:rsidRPr="00144851">
              <w:rPr>
                <w:b/>
                <w:sz w:val="20"/>
              </w:rPr>
              <w:t>scf</w:t>
            </w:r>
            <w:r w:rsidRPr="00144851">
              <w:rPr>
                <w:sz w:val="20"/>
              </w:rPr>
              <w:t>:  standard cubic feet</w:t>
            </w:r>
          </w:p>
          <w:p w:rsidR="007F282C" w:rsidRPr="00144851" w:rsidRDefault="007F282C" w:rsidP="00B21898">
            <w:pPr>
              <w:spacing w:after="100"/>
              <w:jc w:val="both"/>
              <w:rPr>
                <w:sz w:val="20"/>
              </w:rPr>
            </w:pPr>
            <w:r w:rsidRPr="00144851">
              <w:rPr>
                <w:b/>
                <w:sz w:val="20"/>
              </w:rPr>
              <w:t>scfm</w:t>
            </w:r>
            <w:r w:rsidRPr="00144851">
              <w:rPr>
                <w:sz w:val="20"/>
              </w:rPr>
              <w:t>:  standard cubic feet per minute</w:t>
            </w:r>
          </w:p>
          <w:p w:rsidR="007F282C" w:rsidRPr="00144851" w:rsidRDefault="007F282C" w:rsidP="00B21898">
            <w:pPr>
              <w:spacing w:after="100"/>
              <w:jc w:val="both"/>
              <w:rPr>
                <w:sz w:val="20"/>
              </w:rPr>
            </w:pPr>
            <w:r w:rsidRPr="00144851">
              <w:rPr>
                <w:b/>
                <w:sz w:val="20"/>
              </w:rPr>
              <w:t>SIC</w:t>
            </w:r>
            <w:r w:rsidRPr="00144851">
              <w:rPr>
                <w:sz w:val="20"/>
              </w:rPr>
              <w:t>:  standard industrial classification code</w:t>
            </w:r>
          </w:p>
          <w:p w:rsidR="007F282C" w:rsidRPr="00144851" w:rsidRDefault="007F282C" w:rsidP="00B21898">
            <w:pPr>
              <w:spacing w:after="100"/>
              <w:jc w:val="both"/>
              <w:rPr>
                <w:sz w:val="20"/>
              </w:rPr>
            </w:pPr>
            <w:r w:rsidRPr="00144851">
              <w:rPr>
                <w:b/>
                <w:sz w:val="20"/>
              </w:rPr>
              <w:t>SNCR</w:t>
            </w:r>
            <w:r w:rsidRPr="00144851">
              <w:rPr>
                <w:sz w:val="20"/>
              </w:rPr>
              <w:t>:  selective non-catalytic reduction</w:t>
            </w:r>
          </w:p>
          <w:p w:rsidR="007F282C" w:rsidRPr="00144851" w:rsidRDefault="007F282C" w:rsidP="00B21898">
            <w:pPr>
              <w:spacing w:after="100"/>
              <w:jc w:val="both"/>
              <w:rPr>
                <w:sz w:val="20"/>
              </w:rPr>
            </w:pPr>
            <w:r w:rsidRPr="00144851">
              <w:rPr>
                <w:b/>
                <w:sz w:val="20"/>
              </w:rPr>
              <w:t>SO</w:t>
            </w:r>
            <w:r w:rsidRPr="00144851">
              <w:rPr>
                <w:b/>
                <w:sz w:val="20"/>
                <w:vertAlign w:val="subscript"/>
              </w:rPr>
              <w:t>2</w:t>
            </w:r>
            <w:r w:rsidRPr="00144851">
              <w:rPr>
                <w:sz w:val="20"/>
              </w:rPr>
              <w:t>:  sulfur dioxide</w:t>
            </w:r>
          </w:p>
          <w:p w:rsidR="007F282C" w:rsidRPr="00144851" w:rsidRDefault="007F282C" w:rsidP="00B21898">
            <w:pPr>
              <w:spacing w:after="100"/>
              <w:jc w:val="both"/>
              <w:rPr>
                <w:sz w:val="20"/>
              </w:rPr>
            </w:pPr>
            <w:r w:rsidRPr="00144851">
              <w:rPr>
                <w:b/>
                <w:sz w:val="20"/>
              </w:rPr>
              <w:t>TPH</w:t>
            </w:r>
            <w:r w:rsidRPr="00144851">
              <w:rPr>
                <w:sz w:val="20"/>
              </w:rPr>
              <w:t>:  tons per hour</w:t>
            </w:r>
          </w:p>
          <w:p w:rsidR="007F282C" w:rsidRPr="00144851" w:rsidRDefault="007F282C" w:rsidP="00B21898">
            <w:pPr>
              <w:spacing w:after="100"/>
              <w:jc w:val="both"/>
              <w:rPr>
                <w:sz w:val="20"/>
              </w:rPr>
            </w:pPr>
            <w:r w:rsidRPr="00144851">
              <w:rPr>
                <w:b/>
                <w:sz w:val="20"/>
              </w:rPr>
              <w:t>TPY</w:t>
            </w:r>
            <w:r w:rsidRPr="00144851">
              <w:rPr>
                <w:sz w:val="20"/>
              </w:rPr>
              <w:t>:  tons per year</w:t>
            </w:r>
          </w:p>
          <w:p w:rsidR="007F282C" w:rsidRPr="00144851" w:rsidRDefault="007F282C" w:rsidP="00B21898">
            <w:pPr>
              <w:spacing w:after="100"/>
              <w:jc w:val="both"/>
              <w:rPr>
                <w:sz w:val="20"/>
              </w:rPr>
            </w:pPr>
            <w:r w:rsidRPr="00144851">
              <w:rPr>
                <w:b/>
                <w:sz w:val="20"/>
              </w:rPr>
              <w:t>UTM</w:t>
            </w:r>
            <w:r w:rsidRPr="00144851">
              <w:rPr>
                <w:sz w:val="20"/>
              </w:rPr>
              <w:t>:  Universal Transverse Mercator coordinate system</w:t>
            </w:r>
          </w:p>
          <w:p w:rsidR="007F282C" w:rsidRPr="00144851" w:rsidRDefault="007F282C" w:rsidP="00B21898">
            <w:pPr>
              <w:spacing w:after="100"/>
              <w:jc w:val="both"/>
              <w:rPr>
                <w:sz w:val="20"/>
              </w:rPr>
            </w:pPr>
            <w:r w:rsidRPr="00144851">
              <w:rPr>
                <w:b/>
                <w:sz w:val="20"/>
              </w:rPr>
              <w:t>VE</w:t>
            </w:r>
            <w:r w:rsidRPr="00144851">
              <w:rPr>
                <w:sz w:val="20"/>
              </w:rPr>
              <w:t>:  visible emissions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VOC</w:t>
            </w:r>
            <w:r w:rsidRPr="00144851">
              <w:rPr>
                <w:sz w:val="20"/>
              </w:rPr>
              <w:t>:  volatile organic compounds</w:t>
            </w:r>
          </w:p>
        </w:tc>
      </w:tr>
    </w:tbl>
    <w:p w:rsidR="005967AA" w:rsidRPr="00144851" w:rsidRDefault="005967AA" w:rsidP="00E101D7">
      <w:pPr>
        <w:widowControl w:val="0"/>
        <w:spacing w:after="60"/>
        <w:jc w:val="both"/>
        <w:rPr>
          <w:sz w:val="20"/>
        </w:rPr>
      </w:pPr>
    </w:p>
    <w:p w:rsidR="009065A6" w:rsidRPr="00144851" w:rsidRDefault="0011239E" w:rsidP="00E101D7">
      <w:pPr>
        <w:widowControl w:val="0"/>
        <w:spacing w:after="60"/>
        <w:ind w:left="504" w:hanging="504"/>
        <w:jc w:val="both"/>
        <w:rPr>
          <w:sz w:val="20"/>
        </w:rPr>
      </w:pPr>
      <w:r w:rsidRPr="00144851">
        <w:rPr>
          <w:iCs/>
          <w:vanish/>
          <w:sz w:val="20"/>
        </w:rPr>
        <w:t>Lastpage</w:t>
      </w:r>
    </w:p>
    <w:p w:rsidR="00891539" w:rsidRPr="00144851" w:rsidRDefault="00891539" w:rsidP="00E101D7">
      <w:pPr>
        <w:widowControl w:val="0"/>
        <w:spacing w:after="120"/>
        <w:ind w:left="1656" w:hanging="504"/>
        <w:jc w:val="both"/>
        <w:rPr>
          <w:sz w:val="20"/>
        </w:rPr>
        <w:sectPr w:rsidR="00891539" w:rsidRPr="00144851" w:rsidSect="00DD4B9D">
          <w:headerReference w:type="default" r:id="rId8"/>
          <w:footerReference w:type="default" r:id="rId9"/>
          <w:pgSz w:w="12240" w:h="15840" w:code="1"/>
          <w:pgMar w:top="720" w:right="1008" w:bottom="720" w:left="1008" w:header="720" w:footer="576" w:gutter="0"/>
          <w:paperSrc w:first="7" w:other="7"/>
          <w:pgNumType w:start="1"/>
          <w:cols w:space="720"/>
        </w:sectPr>
      </w:pPr>
    </w:p>
    <w:p w:rsidR="00932A7E" w:rsidRPr="00144851" w:rsidRDefault="00932A7E" w:rsidP="00932A7E">
      <w:pPr>
        <w:pStyle w:val="BodyText2"/>
        <w:ind w:left="0" w:firstLine="0"/>
        <w:rPr>
          <w:sz w:val="20"/>
        </w:rPr>
      </w:pPr>
      <w:r w:rsidRPr="00144851">
        <w:rPr>
          <w:b/>
          <w:sz w:val="20"/>
        </w:rPr>
        <w:lastRenderedPageBreak/>
        <w:t>Applicable State Regulations</w:t>
      </w:r>
    </w:p>
    <w:p w:rsidR="00932A7E" w:rsidRPr="00144851" w:rsidRDefault="00932A7E" w:rsidP="00932A7E">
      <w:pPr>
        <w:pStyle w:val="BodyText2"/>
        <w:widowControl w:val="0"/>
        <w:ind w:left="0" w:firstLine="0"/>
        <w:rPr>
          <w:sz w:val="20"/>
        </w:rPr>
      </w:pPr>
      <w:r w:rsidRPr="00144851">
        <w:rPr>
          <w:sz w:val="20"/>
        </w:rPr>
        <w:t xml:space="preserve">Emissions units at this facility are subject to the applicable </w:t>
      </w:r>
      <w:r w:rsidR="00D54736" w:rsidRPr="00144851">
        <w:rPr>
          <w:sz w:val="20"/>
        </w:rPr>
        <w:t xml:space="preserve">portions of the regulations specified in the following </w:t>
      </w:r>
      <w:r w:rsidRPr="00144851">
        <w:rPr>
          <w:sz w:val="20"/>
        </w:rPr>
        <w:t>Chapters</w:t>
      </w:r>
      <w:r w:rsidR="00D54736" w:rsidRPr="00144851">
        <w:rPr>
          <w:sz w:val="20"/>
        </w:rPr>
        <w:t xml:space="preserve"> of the Florida Administrative Code</w:t>
      </w:r>
      <w:r w:rsidRPr="00144851">
        <w:rPr>
          <w:sz w:val="20"/>
        </w:rPr>
        <w:t xml:space="preserve">:  62-4 </w:t>
      </w:r>
      <w:r w:rsidR="00D54736" w:rsidRPr="00144851">
        <w:rPr>
          <w:sz w:val="20"/>
        </w:rPr>
        <w:t>(</w:t>
      </w:r>
      <w:r w:rsidRPr="00144851">
        <w:rPr>
          <w:sz w:val="20"/>
        </w:rPr>
        <w:t>Permitting Requirements</w:t>
      </w:r>
      <w:r w:rsidR="00D54736" w:rsidRPr="00144851">
        <w:rPr>
          <w:sz w:val="20"/>
        </w:rPr>
        <w:t>)</w:t>
      </w:r>
      <w:r w:rsidRPr="00144851">
        <w:rPr>
          <w:sz w:val="20"/>
        </w:rPr>
        <w:t xml:space="preserve">; 62-204 </w:t>
      </w:r>
      <w:r w:rsidR="00D54736" w:rsidRPr="00144851">
        <w:rPr>
          <w:sz w:val="20"/>
        </w:rPr>
        <w:t>(</w:t>
      </w:r>
      <w:r w:rsidRPr="00144851">
        <w:rPr>
          <w:sz w:val="20"/>
        </w:rPr>
        <w:t>Ambient Air Quality Requirements, PSD Increments, and Federal Regulations Adopted by Reference</w:t>
      </w:r>
      <w:r w:rsidR="00D54736" w:rsidRPr="00144851">
        <w:rPr>
          <w:sz w:val="20"/>
        </w:rPr>
        <w:t>)</w:t>
      </w:r>
      <w:r w:rsidRPr="00144851">
        <w:rPr>
          <w:sz w:val="20"/>
        </w:rPr>
        <w:t xml:space="preserve">; 62-210 </w:t>
      </w:r>
      <w:r w:rsidR="00D54736" w:rsidRPr="00144851">
        <w:rPr>
          <w:sz w:val="20"/>
        </w:rPr>
        <w:t>(</w:t>
      </w:r>
      <w:r w:rsidRPr="00144851">
        <w:rPr>
          <w:sz w:val="20"/>
        </w:rPr>
        <w:t>Permits Required, Public Notice, Reports, Stack Height Policy, Circumvention, Excess Emissions, and Forms</w:t>
      </w:r>
      <w:r w:rsidR="00D54736" w:rsidRPr="00144851">
        <w:rPr>
          <w:sz w:val="20"/>
        </w:rPr>
        <w:t>)</w:t>
      </w:r>
      <w:r w:rsidRPr="00144851">
        <w:rPr>
          <w:sz w:val="20"/>
        </w:rPr>
        <w:t xml:space="preserve">; 62-212 </w:t>
      </w:r>
      <w:r w:rsidR="00D54736" w:rsidRPr="00144851">
        <w:rPr>
          <w:sz w:val="20"/>
        </w:rPr>
        <w:t>(</w:t>
      </w:r>
      <w:r w:rsidRPr="00144851">
        <w:rPr>
          <w:sz w:val="20"/>
        </w:rPr>
        <w:t>Preconstruction Review, PSD Review and Best Available Control Technology, and Non-attainment Area Review and Lowest Achievable Emission Rate</w:t>
      </w:r>
      <w:r w:rsidR="00D54736" w:rsidRPr="00144851">
        <w:rPr>
          <w:sz w:val="20"/>
        </w:rPr>
        <w:t>)</w:t>
      </w:r>
      <w:r w:rsidRPr="00144851">
        <w:rPr>
          <w:sz w:val="20"/>
        </w:rPr>
        <w:t xml:space="preserve">; 62-213 </w:t>
      </w:r>
      <w:r w:rsidR="00D54736" w:rsidRPr="00144851">
        <w:rPr>
          <w:sz w:val="20"/>
        </w:rPr>
        <w:t>(</w:t>
      </w:r>
      <w:r w:rsidRPr="00144851">
        <w:rPr>
          <w:sz w:val="20"/>
        </w:rPr>
        <w:t>Title V Air Operation Permits for Major Sources of Air Pollution</w:t>
      </w:r>
      <w:r w:rsidR="00D54736" w:rsidRPr="00144851">
        <w:rPr>
          <w:sz w:val="20"/>
        </w:rPr>
        <w:t>)</w:t>
      </w:r>
      <w:r w:rsidRPr="00144851">
        <w:rPr>
          <w:sz w:val="20"/>
        </w:rPr>
        <w:t xml:space="preserve">; 62-296 </w:t>
      </w:r>
      <w:r w:rsidR="00D54736" w:rsidRPr="00144851">
        <w:rPr>
          <w:sz w:val="20"/>
        </w:rPr>
        <w:t>(</w:t>
      </w:r>
      <w:r w:rsidRPr="00144851">
        <w:rPr>
          <w:sz w:val="20"/>
        </w:rPr>
        <w:t>Emission Limiting Standards</w:t>
      </w:r>
      <w:r w:rsidR="00D54736" w:rsidRPr="00144851">
        <w:rPr>
          <w:sz w:val="20"/>
        </w:rPr>
        <w:t>)</w:t>
      </w:r>
      <w:r w:rsidRPr="00144851">
        <w:rPr>
          <w:sz w:val="20"/>
        </w:rPr>
        <w:t xml:space="preserve">; and 62-297 </w:t>
      </w:r>
      <w:r w:rsidR="00D54736" w:rsidRPr="00144851">
        <w:rPr>
          <w:sz w:val="20"/>
        </w:rPr>
        <w:t>(</w:t>
      </w:r>
      <w:r w:rsidRPr="00144851">
        <w:rPr>
          <w:sz w:val="20"/>
        </w:rPr>
        <w:t>Test Methods and Procedures, Continuous Monitoring Specifications, and Alternate Sampling Procedures</w:t>
      </w:r>
      <w:r w:rsidR="00D54736" w:rsidRPr="00144851">
        <w:rPr>
          <w:sz w:val="20"/>
        </w:rPr>
        <w:t>)</w:t>
      </w:r>
      <w:r w:rsidRPr="00144851">
        <w:rPr>
          <w:sz w:val="20"/>
        </w:rPr>
        <w:t xml:space="preserve">.  </w:t>
      </w:r>
      <w:r w:rsidR="00D54736" w:rsidRPr="00144851">
        <w:rPr>
          <w:sz w:val="20"/>
        </w:rPr>
        <w:t>In particular, e</w:t>
      </w:r>
      <w:r w:rsidRPr="00144851">
        <w:rPr>
          <w:sz w:val="20"/>
        </w:rPr>
        <w:t xml:space="preserve">missions units are subject to </w:t>
      </w:r>
      <w:r w:rsidR="00D54736" w:rsidRPr="00144851">
        <w:rPr>
          <w:sz w:val="20"/>
        </w:rPr>
        <w:t>applicable portion</w:t>
      </w:r>
      <w:r w:rsidR="00DD119B" w:rsidRPr="00144851">
        <w:rPr>
          <w:sz w:val="20"/>
        </w:rPr>
        <w:t>s</w:t>
      </w:r>
      <w:r w:rsidR="00D54736" w:rsidRPr="00144851">
        <w:rPr>
          <w:sz w:val="20"/>
        </w:rPr>
        <w:t xml:space="preserve"> of the </w:t>
      </w:r>
      <w:r w:rsidRPr="00144851">
        <w:rPr>
          <w:sz w:val="20"/>
        </w:rPr>
        <w:t>following source-specific r</w:t>
      </w:r>
      <w:r w:rsidR="00D54736" w:rsidRPr="00144851">
        <w:rPr>
          <w:sz w:val="20"/>
        </w:rPr>
        <w:t>ules</w:t>
      </w:r>
      <w:r w:rsidRPr="00144851">
        <w:rPr>
          <w:sz w:val="20"/>
        </w:rPr>
        <w:t>.</w:t>
      </w:r>
    </w:p>
    <w:p w:rsidR="00932A7E" w:rsidRPr="00144851" w:rsidRDefault="00932A7E" w:rsidP="002B31C6">
      <w:pPr>
        <w:pStyle w:val="BodyText2"/>
        <w:widowControl w:val="0"/>
        <w:numPr>
          <w:ilvl w:val="0"/>
          <w:numId w:val="51"/>
        </w:numPr>
        <w:rPr>
          <w:sz w:val="20"/>
        </w:rPr>
      </w:pPr>
      <w:r w:rsidRPr="00144851">
        <w:rPr>
          <w:sz w:val="20"/>
        </w:rPr>
        <w:t>Boilers 1, 2, 4, 7 and 8 (EU-001, 002, 009, 014 and 028) are subject to Rule 62-296.410, F.A.C. for carbonaceous fuel burning equipment.</w:t>
      </w:r>
    </w:p>
    <w:p w:rsidR="00B36DDB" w:rsidRPr="00144851" w:rsidRDefault="00B36DDB" w:rsidP="002B31C6">
      <w:pPr>
        <w:pStyle w:val="Default"/>
        <w:numPr>
          <w:ilvl w:val="0"/>
          <w:numId w:val="51"/>
        </w:numPr>
        <w:spacing w:after="120"/>
        <w:rPr>
          <w:sz w:val="20"/>
        </w:rPr>
      </w:pPr>
      <w:r w:rsidRPr="00144851">
        <w:rPr>
          <w:sz w:val="20"/>
        </w:rPr>
        <w:t>The temporary rental refinery package boiler is subject to Rule 62-296.406, F.A.C. for f</w:t>
      </w:r>
      <w:r w:rsidRPr="00144851">
        <w:rPr>
          <w:sz w:val="20"/>
          <w:szCs w:val="20"/>
        </w:rPr>
        <w:t>ossil fuel steam generators with less than 250 MMBtu per hour of heat input.</w:t>
      </w:r>
    </w:p>
    <w:p w:rsidR="00932A7E" w:rsidRDefault="00932A7E" w:rsidP="002B31C6">
      <w:pPr>
        <w:pStyle w:val="BodyText2"/>
        <w:widowControl w:val="0"/>
        <w:numPr>
          <w:ilvl w:val="0"/>
          <w:numId w:val="51"/>
        </w:numPr>
        <w:rPr>
          <w:sz w:val="20"/>
        </w:rPr>
      </w:pPr>
      <w:r w:rsidRPr="00144851">
        <w:rPr>
          <w:sz w:val="20"/>
        </w:rPr>
        <w:t xml:space="preserve">Boilers 4, 7 and 8 (EU-009, 014 and 028), the biomass handling and storage (EU-027) and </w:t>
      </w:r>
      <w:r w:rsidR="0091504E" w:rsidRPr="00144851">
        <w:rPr>
          <w:sz w:val="20"/>
        </w:rPr>
        <w:t xml:space="preserve">several </w:t>
      </w:r>
      <w:r w:rsidRPr="00144851">
        <w:rPr>
          <w:sz w:val="20"/>
        </w:rPr>
        <w:t>emissions units in the sugar refinery (EU-</w:t>
      </w:r>
      <w:r w:rsidRPr="00144851">
        <w:rPr>
          <w:color w:val="000000"/>
          <w:sz w:val="20"/>
        </w:rPr>
        <w:t xml:space="preserve">015, 016, 017, 018, 019, 020, 021, 022 and </w:t>
      </w:r>
      <w:r w:rsidRPr="00144851">
        <w:rPr>
          <w:sz w:val="20"/>
        </w:rPr>
        <w:t>029) are subject to Rule 62-212.400(BACT), F.A.C.</w:t>
      </w:r>
    </w:p>
    <w:p w:rsidR="00BA5F19" w:rsidRDefault="00BA5F19" w:rsidP="00BA5F19">
      <w:pPr>
        <w:pStyle w:val="BodyText2"/>
        <w:widowControl w:val="0"/>
        <w:rPr>
          <w:sz w:val="20"/>
        </w:rPr>
      </w:pPr>
    </w:p>
    <w:p w:rsidR="00BA5F19" w:rsidRPr="00144851" w:rsidRDefault="00BA5F19" w:rsidP="00BA5F19">
      <w:pPr>
        <w:pStyle w:val="BodyText2"/>
        <w:widowControl w:val="0"/>
        <w:rPr>
          <w:sz w:val="20"/>
        </w:rPr>
      </w:pPr>
    </w:p>
    <w:p w:rsidR="00932A7E" w:rsidRPr="00144851" w:rsidRDefault="00932A7E" w:rsidP="002B31C6">
      <w:pPr>
        <w:pStyle w:val="BodyText2"/>
        <w:widowControl w:val="0"/>
        <w:numPr>
          <w:ilvl w:val="0"/>
          <w:numId w:val="51"/>
        </w:numPr>
        <w:rPr>
          <w:sz w:val="20"/>
        </w:rPr>
      </w:pPr>
      <w:r w:rsidRPr="00144851">
        <w:rPr>
          <w:sz w:val="20"/>
        </w:rPr>
        <w:t>For all emissions units requiring tests, Rule 62-297.310, F.A.C. establishes the general requirements.</w:t>
      </w:r>
    </w:p>
    <w:p w:rsidR="00932A7E" w:rsidRPr="00144851" w:rsidRDefault="00932A7E" w:rsidP="002B31C6">
      <w:pPr>
        <w:pStyle w:val="BodyText2"/>
        <w:widowControl w:val="0"/>
        <w:numPr>
          <w:ilvl w:val="0"/>
          <w:numId w:val="51"/>
        </w:numPr>
        <w:rPr>
          <w:sz w:val="20"/>
        </w:rPr>
      </w:pPr>
      <w:r w:rsidRPr="00144851">
        <w:rPr>
          <w:sz w:val="20"/>
        </w:rPr>
        <w:t>The following emissions units are subject to the applicable provisions in Rule 62-213.440, F.A.C. for Co</w:t>
      </w:r>
      <w:r w:rsidR="00B36DDB" w:rsidRPr="00144851">
        <w:rPr>
          <w:sz w:val="20"/>
        </w:rPr>
        <w:t>mpliance</w:t>
      </w:r>
      <w:r w:rsidRPr="00144851">
        <w:rPr>
          <w:sz w:val="20"/>
        </w:rPr>
        <w:t xml:space="preserve"> Assurance Monitoring:  Boilers 1, 2, 4, 7 and 8 (EU-001, 002, 009, 014 and 028), granular carbon regeneration furnace (EU-017), three vacuum pickup systems (EU-018) and white sugar dryer </w:t>
      </w:r>
      <w:r w:rsidR="00CD57BC" w:rsidRPr="00144851">
        <w:rPr>
          <w:sz w:val="20"/>
        </w:rPr>
        <w:t xml:space="preserve">No. </w:t>
      </w:r>
      <w:r w:rsidRPr="00144851">
        <w:rPr>
          <w:sz w:val="20"/>
        </w:rPr>
        <w:t>2 (EU-029).</w:t>
      </w:r>
    </w:p>
    <w:p w:rsidR="00932A7E" w:rsidRPr="00144851" w:rsidRDefault="00932A7E" w:rsidP="00932A7E">
      <w:pPr>
        <w:widowControl w:val="0"/>
        <w:spacing w:before="120" w:after="120"/>
        <w:rPr>
          <w:b/>
          <w:sz w:val="20"/>
        </w:rPr>
      </w:pPr>
      <w:r w:rsidRPr="00144851">
        <w:rPr>
          <w:b/>
          <w:sz w:val="20"/>
        </w:rPr>
        <w:t>Applicable Federal Regulations</w:t>
      </w:r>
    </w:p>
    <w:p w:rsidR="00932A7E" w:rsidRPr="00144851" w:rsidRDefault="00932A7E" w:rsidP="00932A7E">
      <w:pPr>
        <w:widowControl w:val="0"/>
        <w:spacing w:after="120"/>
        <w:rPr>
          <w:sz w:val="20"/>
        </w:rPr>
      </w:pPr>
      <w:r w:rsidRPr="00144851">
        <w:rPr>
          <w:sz w:val="20"/>
        </w:rPr>
        <w:t>Federal environmental requirements are established in Title 40 of the Code of Federal Regulations (CFR).  Emissions units are subject to the following source-specific regulations.</w:t>
      </w:r>
    </w:p>
    <w:p w:rsidR="0054727B" w:rsidRPr="00144851" w:rsidRDefault="0054727B" w:rsidP="0054727B">
      <w:pPr>
        <w:widowControl w:val="0"/>
        <w:numPr>
          <w:ilvl w:val="0"/>
          <w:numId w:val="50"/>
        </w:numPr>
        <w:spacing w:after="120"/>
        <w:rPr>
          <w:sz w:val="20"/>
        </w:rPr>
      </w:pPr>
      <w:r w:rsidRPr="00144851">
        <w:rPr>
          <w:sz w:val="20"/>
        </w:rPr>
        <w:t xml:space="preserve">All sources subject to a specific NSPS subpart are also subject to the applicable General Provisions in NSPS Subpart </w:t>
      </w:r>
      <w:proofErr w:type="gramStart"/>
      <w:r w:rsidRPr="00144851">
        <w:rPr>
          <w:sz w:val="20"/>
        </w:rPr>
        <w:t>A</w:t>
      </w:r>
      <w:proofErr w:type="gramEnd"/>
      <w:r w:rsidRPr="00144851">
        <w:rPr>
          <w:sz w:val="20"/>
        </w:rPr>
        <w:t xml:space="preserve"> of 40 CFR 60.</w:t>
      </w:r>
    </w:p>
    <w:p w:rsidR="00932A7E" w:rsidRPr="00144851" w:rsidRDefault="00932A7E" w:rsidP="002B31C6">
      <w:pPr>
        <w:widowControl w:val="0"/>
        <w:numPr>
          <w:ilvl w:val="0"/>
          <w:numId w:val="50"/>
        </w:numPr>
        <w:spacing w:after="120"/>
        <w:rPr>
          <w:sz w:val="20"/>
        </w:rPr>
      </w:pPr>
      <w:r w:rsidRPr="00144851">
        <w:rPr>
          <w:sz w:val="20"/>
        </w:rPr>
        <w:t xml:space="preserve">Boilers 7 (EU-014) and 8 (EU-028) are subject to the New Source Performance Standards (NSPS) in Subpart Db of 40 </w:t>
      </w:r>
      <w:r w:rsidRPr="00144851">
        <w:rPr>
          <w:sz w:val="20"/>
        </w:rPr>
        <w:lastRenderedPageBreak/>
        <w:t xml:space="preserve">CFR 60 for </w:t>
      </w:r>
      <w:r w:rsidR="00DD119B" w:rsidRPr="00144851">
        <w:rPr>
          <w:sz w:val="20"/>
        </w:rPr>
        <w:t>i</w:t>
      </w:r>
      <w:r w:rsidRPr="00144851">
        <w:rPr>
          <w:sz w:val="20"/>
        </w:rPr>
        <w:t>ndustrial-</w:t>
      </w:r>
      <w:r w:rsidR="00DD119B" w:rsidRPr="00144851">
        <w:rPr>
          <w:sz w:val="20"/>
        </w:rPr>
        <w:t>c</w:t>
      </w:r>
      <w:r w:rsidRPr="00144851">
        <w:rPr>
          <w:sz w:val="20"/>
        </w:rPr>
        <w:t>ommercial-</w:t>
      </w:r>
      <w:r w:rsidR="00DD119B" w:rsidRPr="00144851">
        <w:rPr>
          <w:sz w:val="20"/>
        </w:rPr>
        <w:t>i</w:t>
      </w:r>
      <w:r w:rsidRPr="00144851">
        <w:rPr>
          <w:sz w:val="20"/>
        </w:rPr>
        <w:t>nstitutional</w:t>
      </w:r>
      <w:r w:rsidR="00DD119B" w:rsidRPr="00144851">
        <w:rPr>
          <w:sz w:val="20"/>
        </w:rPr>
        <w:t xml:space="preserve"> s</w:t>
      </w:r>
      <w:r w:rsidRPr="00144851">
        <w:rPr>
          <w:sz w:val="20"/>
        </w:rPr>
        <w:t xml:space="preserve">team </w:t>
      </w:r>
      <w:r w:rsidR="00DD119B" w:rsidRPr="00144851">
        <w:rPr>
          <w:sz w:val="20"/>
        </w:rPr>
        <w:t>g</w:t>
      </w:r>
      <w:r w:rsidRPr="00144851">
        <w:rPr>
          <w:sz w:val="20"/>
        </w:rPr>
        <w:t xml:space="preserve">enerating </w:t>
      </w:r>
      <w:r w:rsidR="00DD119B" w:rsidRPr="00144851">
        <w:rPr>
          <w:sz w:val="20"/>
        </w:rPr>
        <w:t>u</w:t>
      </w:r>
      <w:r w:rsidRPr="00144851">
        <w:rPr>
          <w:sz w:val="20"/>
        </w:rPr>
        <w:t>nits</w:t>
      </w:r>
      <w:r w:rsidR="00DD119B" w:rsidRPr="00144851">
        <w:rPr>
          <w:sz w:val="20"/>
        </w:rPr>
        <w:t xml:space="preserve"> with a maximum capacity of more than 100 MMBtu per hour of heat input. </w:t>
      </w:r>
    </w:p>
    <w:p w:rsidR="00932A7E" w:rsidRPr="00144851" w:rsidRDefault="00DD119B" w:rsidP="002B31C6">
      <w:pPr>
        <w:widowControl w:val="0"/>
        <w:numPr>
          <w:ilvl w:val="0"/>
          <w:numId w:val="50"/>
        </w:numPr>
        <w:spacing w:after="120"/>
        <w:rPr>
          <w:sz w:val="20"/>
        </w:rPr>
      </w:pPr>
      <w:r w:rsidRPr="00144851">
        <w:rPr>
          <w:sz w:val="20"/>
        </w:rPr>
        <w:t>If t</w:t>
      </w:r>
      <w:r w:rsidR="0038342A" w:rsidRPr="00144851">
        <w:rPr>
          <w:sz w:val="20"/>
        </w:rPr>
        <w:t xml:space="preserve">he temporary rental refinery package boiler </w:t>
      </w:r>
      <w:r w:rsidR="006E4DD4" w:rsidRPr="00144851">
        <w:rPr>
          <w:sz w:val="20"/>
        </w:rPr>
        <w:t xml:space="preserve">(EU-035) </w:t>
      </w:r>
      <w:r w:rsidR="0054727B" w:rsidRPr="00144851">
        <w:rPr>
          <w:sz w:val="20"/>
        </w:rPr>
        <w:t>was</w:t>
      </w:r>
      <w:r w:rsidRPr="00144851">
        <w:rPr>
          <w:sz w:val="20"/>
        </w:rPr>
        <w:t xml:space="preserve"> </w:t>
      </w:r>
      <w:r w:rsidRPr="00144851">
        <w:rPr>
          <w:szCs w:val="22"/>
        </w:rPr>
        <w:t xml:space="preserve">constructed, modified or reconstructed after June 9, 1989, it is </w:t>
      </w:r>
      <w:r w:rsidR="0038342A" w:rsidRPr="00144851">
        <w:rPr>
          <w:sz w:val="20"/>
        </w:rPr>
        <w:t xml:space="preserve">subject to NSPS Subpart Dc </w:t>
      </w:r>
      <w:r w:rsidRPr="00144851">
        <w:rPr>
          <w:sz w:val="20"/>
        </w:rPr>
        <w:t>of</w:t>
      </w:r>
      <w:r w:rsidR="0038342A" w:rsidRPr="00144851">
        <w:rPr>
          <w:sz w:val="20"/>
        </w:rPr>
        <w:t xml:space="preserve"> 40 CFR 60 for </w:t>
      </w:r>
      <w:r w:rsidRPr="00144851">
        <w:rPr>
          <w:sz w:val="20"/>
        </w:rPr>
        <w:t xml:space="preserve">small industrial-commercial-institutional steam generating units </w:t>
      </w:r>
      <w:r w:rsidR="0038342A" w:rsidRPr="00144851">
        <w:rPr>
          <w:sz w:val="20"/>
        </w:rPr>
        <w:t xml:space="preserve">with </w:t>
      </w:r>
      <w:r w:rsidRPr="00144851">
        <w:rPr>
          <w:sz w:val="20"/>
        </w:rPr>
        <w:t xml:space="preserve">a maximum capacity of </w:t>
      </w:r>
      <w:r w:rsidR="0038342A" w:rsidRPr="00144851">
        <w:rPr>
          <w:sz w:val="20"/>
        </w:rPr>
        <w:t xml:space="preserve">less than </w:t>
      </w:r>
      <w:r w:rsidRPr="00144851">
        <w:rPr>
          <w:sz w:val="20"/>
        </w:rPr>
        <w:t>100</w:t>
      </w:r>
      <w:r w:rsidR="0038342A" w:rsidRPr="00144851">
        <w:rPr>
          <w:sz w:val="20"/>
        </w:rPr>
        <w:t xml:space="preserve"> MMBtu per hour of heat input</w:t>
      </w:r>
      <w:r w:rsidRPr="00144851">
        <w:rPr>
          <w:sz w:val="20"/>
        </w:rPr>
        <w:t>, but greater than or equal to 10 MMBtu per hour of heat input.</w:t>
      </w:r>
    </w:p>
    <w:p w:rsidR="00932A7E" w:rsidRPr="00144851" w:rsidRDefault="00932A7E" w:rsidP="002B31C6">
      <w:pPr>
        <w:widowControl w:val="0"/>
        <w:numPr>
          <w:ilvl w:val="0"/>
          <w:numId w:val="50"/>
        </w:numPr>
        <w:spacing w:after="120"/>
        <w:rPr>
          <w:sz w:val="20"/>
        </w:rPr>
      </w:pPr>
      <w:r w:rsidRPr="00144851">
        <w:rPr>
          <w:sz w:val="20"/>
        </w:rPr>
        <w:t xml:space="preserve">The following emissions units are subject to the applicable provisions in </w:t>
      </w:r>
      <w:r w:rsidRPr="00144851">
        <w:rPr>
          <w:color w:val="000000"/>
          <w:sz w:val="20"/>
        </w:rPr>
        <w:t>40 CFR 64</w:t>
      </w:r>
      <w:r w:rsidRPr="00144851">
        <w:rPr>
          <w:sz w:val="20"/>
        </w:rPr>
        <w:t xml:space="preserve"> for </w:t>
      </w:r>
      <w:r w:rsidR="00B36DDB" w:rsidRPr="00144851">
        <w:rPr>
          <w:sz w:val="20"/>
        </w:rPr>
        <w:t xml:space="preserve">Compliance </w:t>
      </w:r>
      <w:r w:rsidRPr="00144851">
        <w:rPr>
          <w:sz w:val="20"/>
        </w:rPr>
        <w:t>Assurance Monitoring:  Boilers 1, 2, 4, 7 and 8 (EU-001, 002, 009, 014 and 028), granular carbon regeneration furnace (EU-017), three vacuum pickup systems (EU-018) and white sugar dryer 2 (EU-029).</w:t>
      </w:r>
    </w:p>
    <w:p w:rsidR="005967AA" w:rsidRPr="00144851" w:rsidRDefault="005967AA" w:rsidP="00E101D7">
      <w:pPr>
        <w:widowControl w:val="0"/>
        <w:tabs>
          <w:tab w:val="left" w:pos="504"/>
          <w:tab w:val="left" w:pos="720"/>
          <w:tab w:val="left" w:pos="1008"/>
          <w:tab w:val="left" w:leader="dot" w:pos="9504"/>
        </w:tabs>
        <w:spacing w:after="120"/>
        <w:rPr>
          <w:sz w:val="20"/>
        </w:rPr>
      </w:pP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DD4B9D">
          <w:headerReference w:type="even" r:id="rId10"/>
          <w:headerReference w:type="default" r:id="rId11"/>
          <w:footerReference w:type="default" r:id="rId12"/>
          <w:headerReference w:type="first" r:id="rId13"/>
          <w:pgSz w:w="12240" w:h="15840" w:code="1"/>
          <w:pgMar w:top="720" w:right="1008" w:bottom="720" w:left="1008" w:header="720" w:footer="576" w:gutter="0"/>
          <w:paperSrc w:first="7" w:other="7"/>
          <w:pgNumType w:start="1"/>
          <w:cols w:space="720"/>
        </w:sectPr>
      </w:pPr>
    </w:p>
    <w:p w:rsidR="009E78CF" w:rsidRPr="00144851" w:rsidRDefault="009E78CF" w:rsidP="009E78CF">
      <w:pPr>
        <w:pStyle w:val="BodyText"/>
        <w:widowControl w:val="0"/>
        <w:rPr>
          <w:bCs/>
          <w:iCs/>
          <w:sz w:val="20"/>
        </w:rPr>
      </w:pPr>
      <w:r w:rsidRPr="00144851">
        <w:rPr>
          <w:bCs/>
          <w:iCs/>
          <w:sz w:val="20"/>
        </w:rPr>
        <w:lastRenderedPageBreak/>
        <w:t xml:space="preserve">Unless otherwise specified in the permit, the following testing requirements apply </w:t>
      </w:r>
      <w:r w:rsidR="004E3880" w:rsidRPr="00144851">
        <w:rPr>
          <w:bCs/>
          <w:iCs/>
          <w:sz w:val="20"/>
        </w:rPr>
        <w:t xml:space="preserve">as necessary </w:t>
      </w:r>
      <w:r w:rsidRPr="00144851">
        <w:rPr>
          <w:bCs/>
          <w:iCs/>
          <w:sz w:val="20"/>
        </w:rPr>
        <w:t>to all emissions units.</w:t>
      </w:r>
    </w:p>
    <w:p w:rsidR="009E78CF" w:rsidRPr="00144851" w:rsidRDefault="009E78CF" w:rsidP="009E78CF">
      <w:pPr>
        <w:widowControl w:val="0"/>
        <w:spacing w:before="60" w:after="120"/>
        <w:rPr>
          <w:b/>
          <w:caps/>
          <w:sz w:val="20"/>
        </w:rPr>
      </w:pPr>
      <w:r w:rsidRPr="00144851">
        <w:rPr>
          <w:b/>
          <w:caps/>
          <w:sz w:val="20"/>
        </w:rPr>
        <w:t>Compliance Testing Requirements</w:t>
      </w:r>
    </w:p>
    <w:p w:rsidR="009E78CF" w:rsidRPr="00144851" w:rsidRDefault="009E78CF" w:rsidP="002B31C6">
      <w:pPr>
        <w:widowControl w:val="0"/>
        <w:numPr>
          <w:ilvl w:val="0"/>
          <w:numId w:val="38"/>
        </w:numPr>
        <w:spacing w:after="120"/>
        <w:rPr>
          <w:sz w:val="20"/>
        </w:rPr>
      </w:pPr>
      <w:r w:rsidRPr="00144851">
        <w:rPr>
          <w:sz w:val="20"/>
          <w:u w:val="single"/>
        </w:rPr>
        <w:t>Required Number of Test Runs</w:t>
      </w:r>
      <w:r w:rsidRPr="00144851">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9E78CF" w:rsidRPr="00144851" w:rsidRDefault="009E78CF" w:rsidP="002B31C6">
      <w:pPr>
        <w:widowControl w:val="0"/>
        <w:numPr>
          <w:ilvl w:val="0"/>
          <w:numId w:val="38"/>
        </w:numPr>
        <w:spacing w:after="120"/>
        <w:rPr>
          <w:sz w:val="20"/>
        </w:rPr>
      </w:pPr>
      <w:r w:rsidRPr="00144851">
        <w:rPr>
          <w:sz w:val="20"/>
          <w:u w:val="single"/>
        </w:rPr>
        <w:t xml:space="preserve">Operating Rate </w:t>
      </w:r>
      <w:proofErr w:type="gramStart"/>
      <w:r w:rsidRPr="00144851">
        <w:rPr>
          <w:sz w:val="20"/>
          <w:u w:val="single"/>
        </w:rPr>
        <w:t>During</w:t>
      </w:r>
      <w:proofErr w:type="gramEnd"/>
      <w:r w:rsidRPr="00144851">
        <w:rPr>
          <w:sz w:val="20"/>
          <w:u w:val="single"/>
        </w:rPr>
        <w:t xml:space="preserve"> Testing</w:t>
      </w:r>
      <w:r w:rsidRPr="0014485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9E78CF" w:rsidRPr="00144851" w:rsidRDefault="009E78CF" w:rsidP="002B31C6">
      <w:pPr>
        <w:widowControl w:val="0"/>
        <w:numPr>
          <w:ilvl w:val="0"/>
          <w:numId w:val="38"/>
        </w:numPr>
        <w:spacing w:after="120"/>
        <w:rPr>
          <w:sz w:val="20"/>
        </w:rPr>
      </w:pPr>
      <w:r w:rsidRPr="00144851">
        <w:rPr>
          <w:sz w:val="20"/>
          <w:u w:val="single"/>
        </w:rPr>
        <w:t>Calculation of Emission Rate</w:t>
      </w:r>
      <w:r w:rsidRPr="00144851">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9E78CF" w:rsidRPr="00144851" w:rsidRDefault="009E78CF" w:rsidP="002B31C6">
      <w:pPr>
        <w:widowControl w:val="0"/>
        <w:numPr>
          <w:ilvl w:val="0"/>
          <w:numId w:val="38"/>
        </w:numPr>
        <w:spacing w:after="120"/>
        <w:rPr>
          <w:sz w:val="20"/>
        </w:rPr>
      </w:pPr>
      <w:r w:rsidRPr="00144851">
        <w:rPr>
          <w:sz w:val="20"/>
          <w:u w:val="single"/>
        </w:rPr>
        <w:t>Applicable Test Procedures</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Required Sampling Time.</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Minimum Sample Volume.</w:t>
      </w:r>
      <w:r w:rsidRPr="00144851">
        <w:rPr>
          <w:sz w:val="20"/>
        </w:rPr>
        <w:t xml:space="preserve">  Unless otherwise specified in the applicable rule or test method, the minimum sample volume per run shall be 25 dry standard cubic feet.</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Calibration of Sampling Equipment</w:t>
      </w:r>
      <w:r w:rsidRPr="00144851">
        <w:rPr>
          <w:sz w:val="20"/>
        </w:rPr>
        <w:t>.  Calibration of the sampling train equipment shall be conducted in accordance with the schedule shown in Table 297.310-1, F.A.C.</w:t>
      </w:r>
    </w:p>
    <w:tbl>
      <w:tblPr>
        <w:tblW w:w="0" w:type="auto"/>
        <w:tblInd w:w="89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640"/>
        <w:gridCol w:w="1690"/>
        <w:gridCol w:w="3330"/>
        <w:gridCol w:w="2520"/>
      </w:tblGrid>
      <w:tr w:rsidR="0063713D" w:rsidRPr="00144851" w:rsidTr="00B21898">
        <w:tc>
          <w:tcPr>
            <w:tcW w:w="9180" w:type="dxa"/>
            <w:gridSpan w:val="4"/>
            <w:tcBorders>
              <w:top w:val="single" w:sz="12" w:space="0" w:color="auto"/>
              <w:bottom w:val="single" w:sz="12" w:space="0" w:color="auto"/>
            </w:tcBorders>
          </w:tcPr>
          <w:p w:rsidR="0063713D" w:rsidRPr="00144851" w:rsidRDefault="0063713D" w:rsidP="00B21898">
            <w:pPr>
              <w:autoSpaceDE w:val="0"/>
              <w:autoSpaceDN w:val="0"/>
              <w:adjustRightInd w:val="0"/>
              <w:jc w:val="center"/>
              <w:rPr>
                <w:sz w:val="20"/>
              </w:rPr>
            </w:pPr>
            <w:r w:rsidRPr="00144851">
              <w:rPr>
                <w:rFonts w:ascii="TimesNewRomanPSMT" w:hAnsi="TimesNewRomanPSMT" w:cs="TimesNewRomanPSMT"/>
                <w:sz w:val="20"/>
              </w:rPr>
              <w:lastRenderedPageBreak/>
              <w:t>TABLE 297.310-1 CALIBRATION SCHEDULE</w:t>
            </w:r>
          </w:p>
        </w:tc>
      </w:tr>
      <w:tr w:rsidR="0063713D" w:rsidRPr="00144851" w:rsidTr="00B21898">
        <w:tc>
          <w:tcPr>
            <w:tcW w:w="1640" w:type="dxa"/>
            <w:tcBorders>
              <w:top w:val="single" w:sz="12" w:space="0" w:color="auto"/>
              <w:bottom w:val="single" w:sz="12" w:space="0" w:color="auto"/>
              <w:right w:val="single" w:sz="12" w:space="0" w:color="auto"/>
            </w:tcBorders>
            <w:vAlign w:val="center"/>
          </w:tcPr>
          <w:p w:rsidR="0063713D" w:rsidRPr="00144851" w:rsidRDefault="0063713D" w:rsidP="00B21898">
            <w:pPr>
              <w:autoSpaceDE w:val="0"/>
              <w:autoSpaceDN w:val="0"/>
              <w:adjustRightInd w:val="0"/>
              <w:rPr>
                <w:sz w:val="20"/>
              </w:rPr>
            </w:pPr>
            <w:r w:rsidRPr="00144851">
              <w:rPr>
                <w:sz w:val="20"/>
              </w:rPr>
              <w:t>ITEM</w:t>
            </w:r>
          </w:p>
        </w:tc>
        <w:tc>
          <w:tcPr>
            <w:tcW w:w="169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MINIMUM CALIBRATION FREQUENCY</w:t>
            </w:r>
          </w:p>
        </w:tc>
        <w:tc>
          <w:tcPr>
            <w:tcW w:w="333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REFERENCE INSTRUMENT</w:t>
            </w:r>
          </w:p>
        </w:tc>
        <w:tc>
          <w:tcPr>
            <w:tcW w:w="2520" w:type="dxa"/>
            <w:tcBorders>
              <w:top w:val="single" w:sz="12" w:space="0" w:color="auto"/>
              <w:left w:val="single" w:sz="12" w:space="0" w:color="auto"/>
              <w:bottom w:val="single" w:sz="12" w:space="0" w:color="auto"/>
            </w:tcBorders>
            <w:vAlign w:val="center"/>
          </w:tcPr>
          <w:p w:rsidR="0063713D" w:rsidRPr="00144851" w:rsidRDefault="0063713D" w:rsidP="00B21898">
            <w:pPr>
              <w:jc w:val="center"/>
              <w:rPr>
                <w:sz w:val="20"/>
              </w:rPr>
            </w:pPr>
            <w:r w:rsidRPr="00144851">
              <w:rPr>
                <w:sz w:val="20"/>
              </w:rPr>
              <w:t>TOLERANCE</w:t>
            </w:r>
          </w:p>
        </w:tc>
      </w:tr>
      <w:tr w:rsidR="0063713D" w:rsidRPr="00144851" w:rsidTr="00B21898">
        <w:tc>
          <w:tcPr>
            <w:tcW w:w="1640" w:type="dxa"/>
            <w:tcBorders>
              <w:top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Liquid in glass thermometer</w:t>
            </w:r>
          </w:p>
        </w:tc>
        <w:tc>
          <w:tcPr>
            <w:tcW w:w="169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or equivalent or thermometric points</w:t>
            </w:r>
          </w:p>
        </w:tc>
        <w:tc>
          <w:tcPr>
            <w:tcW w:w="2520" w:type="dxa"/>
            <w:tcBorders>
              <w:top w:val="single" w:sz="12"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r w:rsidRPr="00144851">
              <w:rPr>
                <w:sz w:val="20"/>
              </w:rPr>
              <w:t>Bimetallic thermometer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 xml:space="preserve">Quarterly </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Calib. liq. in glass</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Thermocouple</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NBS calibrated reference and potentiometer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Barometer</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Monthly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Hg barometer or NOAA station</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+/-1% scale</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Pitot Tube</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When required or when damaged</w:t>
            </w:r>
          </w:p>
          <w:p w:rsidR="0063713D" w:rsidRPr="00144851" w:rsidRDefault="0063713D" w:rsidP="00B466A2">
            <w:pPr>
              <w:rPr>
                <w:sz w:val="20"/>
              </w:rPr>
            </w:pP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By construction or measurements in wind tunnel D greater than 16” and standard pitot tube</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See EPA Method 2, Fig. 2-2 &amp; 2-3</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Probe Nozzles</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Before each test or when nicked, dented, or corroded</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Micrometer</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+/- 0.001” mean of at least three readings; Max. deviation between readings, 0.004”</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Dry Gas Meter and Orifice 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1. Full Scale:  When received, when 5% change observed, 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Spirometer or calibrated wet test or dry gas test 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2. One Point:  Semiannually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p>
        </w:tc>
      </w:tr>
      <w:tr w:rsidR="0063713D" w:rsidRPr="00144851" w:rsidTr="00B21898">
        <w:tc>
          <w:tcPr>
            <w:tcW w:w="1640" w:type="dxa"/>
            <w:tcBorders>
              <w:top w:val="single" w:sz="8" w:space="0" w:color="auto"/>
              <w:bottom w:val="single" w:sz="12"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3. Check after each test series</w:t>
            </w:r>
          </w:p>
        </w:tc>
        <w:tc>
          <w:tcPr>
            <w:tcW w:w="333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Comparison check</w:t>
            </w:r>
          </w:p>
        </w:tc>
        <w:tc>
          <w:tcPr>
            <w:tcW w:w="2520" w:type="dxa"/>
            <w:tcBorders>
              <w:top w:val="single" w:sz="8" w:space="0" w:color="auto"/>
              <w:left w:val="single" w:sz="12" w:space="0" w:color="auto"/>
              <w:bottom w:val="single" w:sz="12" w:space="0" w:color="auto"/>
            </w:tcBorders>
          </w:tcPr>
          <w:p w:rsidR="0063713D" w:rsidRPr="00144851" w:rsidRDefault="0063713D" w:rsidP="00B21898">
            <w:pPr>
              <w:jc w:val="center"/>
              <w:rPr>
                <w:sz w:val="20"/>
              </w:rPr>
            </w:pPr>
            <w:r w:rsidRPr="00144851">
              <w:rPr>
                <w:sz w:val="20"/>
              </w:rPr>
              <w:t>5%</w:t>
            </w:r>
          </w:p>
        </w:tc>
      </w:tr>
    </w:tbl>
    <w:p w:rsidR="009E78CF" w:rsidRPr="00144851" w:rsidRDefault="009E78CF" w:rsidP="002B31C6">
      <w:pPr>
        <w:widowControl w:val="0"/>
        <w:numPr>
          <w:ilvl w:val="0"/>
          <w:numId w:val="24"/>
        </w:numPr>
        <w:tabs>
          <w:tab w:val="clear" w:pos="360"/>
          <w:tab w:val="num" w:pos="720"/>
        </w:tabs>
        <w:spacing w:before="240" w:after="120"/>
        <w:ind w:left="720"/>
        <w:rPr>
          <w:rFonts w:ascii="TimesNewRomanPSMT" w:hAnsi="TimesNewRomanPSMT" w:cs="TimesNewRomanPSMT"/>
          <w:sz w:val="20"/>
        </w:rPr>
      </w:pPr>
      <w:r w:rsidRPr="00144851">
        <w:rPr>
          <w:i/>
          <w:sz w:val="20"/>
        </w:rPr>
        <w:t>Allowed Modification</w:t>
      </w:r>
      <w:r w:rsidRPr="00144851">
        <w:rPr>
          <w:rFonts w:ascii="TimesNewRomanPSMT" w:hAnsi="TimesNewRomanPSMT" w:cs="TimesNewRomanPSMT"/>
          <w:i/>
          <w:sz w:val="20"/>
        </w:rPr>
        <w:t xml:space="preserve"> to EPA Method 5</w:t>
      </w:r>
      <w:r w:rsidRPr="00144851">
        <w:rPr>
          <w:rFonts w:ascii="TimesNewRomanPSMT" w:hAnsi="TimesNewRomanPSMT" w:cs="TimesNewRomanPSMT"/>
          <w:sz w:val="20"/>
        </w:rPr>
        <w:t>.  When EPA Method 5 is required, the following modification is allowed: the heated filter may be separated from the impingers by a flexible tube.</w:t>
      </w:r>
    </w:p>
    <w:p w:rsidR="009E78CF" w:rsidRPr="00144851" w:rsidRDefault="009E78CF" w:rsidP="009E78CF">
      <w:pPr>
        <w:widowControl w:val="0"/>
        <w:spacing w:after="120"/>
        <w:ind w:left="360"/>
        <w:rPr>
          <w:rFonts w:ascii="TimesNewRomanPSMT" w:hAnsi="TimesNewRomanPSMT" w:cs="TimesNewRomanPSMT"/>
          <w:sz w:val="20"/>
        </w:rPr>
      </w:pPr>
      <w:r w:rsidRPr="00144851">
        <w:rPr>
          <w:sz w:val="20"/>
        </w:rPr>
        <w:t>[Rule 62-297.310(4), F.A.C.]</w:t>
      </w:r>
    </w:p>
    <w:p w:rsidR="009E78CF" w:rsidRPr="00144851" w:rsidRDefault="009E78CF" w:rsidP="002B31C6">
      <w:pPr>
        <w:widowControl w:val="0"/>
        <w:numPr>
          <w:ilvl w:val="0"/>
          <w:numId w:val="38"/>
        </w:numPr>
        <w:spacing w:after="120"/>
        <w:rPr>
          <w:sz w:val="20"/>
          <w:u w:val="single"/>
        </w:rPr>
      </w:pPr>
      <w:r w:rsidRPr="00144851">
        <w:rPr>
          <w:sz w:val="20"/>
          <w:u w:val="single"/>
        </w:rPr>
        <w:t>Determination of Process Variables</w:t>
      </w:r>
    </w:p>
    <w:p w:rsidR="009E78CF" w:rsidRPr="00144851" w:rsidRDefault="009E78CF" w:rsidP="002B31C6">
      <w:pPr>
        <w:pStyle w:val="BodyText3"/>
        <w:widowControl w:val="0"/>
        <w:numPr>
          <w:ilvl w:val="0"/>
          <w:numId w:val="25"/>
        </w:numPr>
        <w:tabs>
          <w:tab w:val="clear" w:pos="360"/>
          <w:tab w:val="num" w:pos="720"/>
        </w:tabs>
        <w:ind w:left="720"/>
        <w:jc w:val="left"/>
        <w:rPr>
          <w:sz w:val="20"/>
        </w:rPr>
      </w:pPr>
      <w:r w:rsidRPr="00144851">
        <w:rPr>
          <w:i/>
          <w:sz w:val="20"/>
        </w:rPr>
        <w:t>Required Equipment</w:t>
      </w:r>
      <w:r w:rsidRPr="0014485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9E78CF" w:rsidRPr="00144851" w:rsidRDefault="009E78CF" w:rsidP="002B31C6">
      <w:pPr>
        <w:widowControl w:val="0"/>
        <w:numPr>
          <w:ilvl w:val="0"/>
          <w:numId w:val="25"/>
        </w:numPr>
        <w:tabs>
          <w:tab w:val="clear" w:pos="360"/>
          <w:tab w:val="num" w:pos="720"/>
        </w:tabs>
        <w:spacing w:after="120"/>
        <w:ind w:left="720"/>
        <w:rPr>
          <w:sz w:val="20"/>
        </w:rPr>
      </w:pPr>
      <w:r w:rsidRPr="00144851">
        <w:rPr>
          <w:i/>
          <w:sz w:val="20"/>
        </w:rPr>
        <w:t>Accuracy of Equipment</w:t>
      </w:r>
      <w:r w:rsidRPr="0014485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9E78CF" w:rsidRPr="00144851" w:rsidRDefault="009E78CF" w:rsidP="009E78CF">
      <w:pPr>
        <w:widowControl w:val="0"/>
        <w:spacing w:after="120"/>
        <w:ind w:left="360"/>
        <w:rPr>
          <w:sz w:val="20"/>
        </w:rPr>
      </w:pPr>
      <w:r w:rsidRPr="00144851">
        <w:rPr>
          <w:sz w:val="20"/>
        </w:rPr>
        <w:t>[Rule 62-297.310(5), F.A.C.]</w:t>
      </w:r>
    </w:p>
    <w:p w:rsidR="009E78CF" w:rsidRPr="00144851" w:rsidRDefault="009E78CF" w:rsidP="002B31C6">
      <w:pPr>
        <w:widowControl w:val="0"/>
        <w:numPr>
          <w:ilvl w:val="0"/>
          <w:numId w:val="38"/>
        </w:numPr>
        <w:spacing w:after="120"/>
        <w:rPr>
          <w:sz w:val="20"/>
        </w:rPr>
      </w:pPr>
      <w:r w:rsidRPr="00144851">
        <w:rPr>
          <w:sz w:val="20"/>
          <w:u w:val="single"/>
        </w:rPr>
        <w:t>Sampling Facilities</w:t>
      </w:r>
      <w:r w:rsidRPr="00144851">
        <w:rPr>
          <w:sz w:val="20"/>
        </w:rPr>
        <w:t>: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lastRenderedPageBreak/>
        <w:t>Permanent Test Facilities</w:t>
      </w:r>
      <w:r w:rsidRPr="00144851">
        <w:rPr>
          <w:rFonts w:ascii="TimesNewRomanPSMT" w:hAnsi="TimesNewRomanPSMT" w:cs="TimesNewRomanPSMT"/>
          <w:sz w:val="20"/>
        </w:rPr>
        <w:t>. The owner or operator of an emissions unit for which a compliance test, other than a visible emissions test, is required on at least an annual basis, shall install and maintain permanent stack sampling facilities.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Temporary Test Facilities</w:t>
      </w:r>
      <w:r w:rsidRPr="00144851">
        <w:rPr>
          <w:rFonts w:ascii="TimesNewRomanPSMT" w:hAnsi="TimesNewRomanPSMT" w:cs="TimesNewRomanPSMT"/>
          <w:sz w:val="20"/>
        </w:rPr>
        <w:t xml:space="preserve">. The owner or operator of an emissions unit that is not required to conduct </w:t>
      </w:r>
      <w:proofErr w:type="gramStart"/>
      <w:r w:rsidRPr="00144851">
        <w:rPr>
          <w:rFonts w:ascii="TimesNewRomanPSMT" w:hAnsi="TimesNewRomanPSMT" w:cs="TimesNewRomanPSMT"/>
          <w:sz w:val="20"/>
        </w:rPr>
        <w:t>a compliance</w:t>
      </w:r>
      <w:proofErr w:type="gramEnd"/>
      <w:r w:rsidRPr="00144851">
        <w:rPr>
          <w:rFonts w:ascii="TimesNewRomanPSMT" w:hAnsi="TimesNewRomanPSMT" w:cs="TimesNewRomanPSMT"/>
          <w:sz w:val="20"/>
        </w:rPr>
        <w:t xml:space="preserv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Ports</w:t>
      </w:r>
      <w:r w:rsidRPr="00144851">
        <w:rPr>
          <w:rFonts w:ascii="TimesNewRomanPSMT" w:hAnsi="TimesNewRomanPSMT" w:cs="TimesNewRomanPSMT"/>
          <w:sz w:val="20"/>
        </w:rPr>
        <w:t>.</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All sampling ports shall have a minimum inside diameter of 3 inches.</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ports shall be capable of being sealed when not in use.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sampling ports shall be located in the stack at least 2 stack diameters or equivalent diameters downstream and at least 0.5 stack diameter or equivalent diameter upstream from any fan, bend, constriction or other flow disturbance.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9E78CF" w:rsidRPr="00144851" w:rsidRDefault="009E78CF" w:rsidP="002B31C6">
      <w:pPr>
        <w:widowControl w:val="0"/>
        <w:numPr>
          <w:ilvl w:val="0"/>
          <w:numId w:val="29"/>
        </w:numPr>
        <w:autoSpaceDE w:val="0"/>
        <w:autoSpaceDN w:val="0"/>
        <w:adjustRightInd w:val="0"/>
        <w:spacing w:after="120"/>
        <w:rPr>
          <w:rFonts w:ascii="TimesNewRomanPSMT" w:hAnsi="TimesNewRomanPSMT" w:cs="TimesNewRomanPSMT"/>
          <w:sz w:val="20"/>
        </w:rPr>
      </w:pPr>
      <w:r w:rsidRPr="00144851">
        <w:rPr>
          <w:sz w:val="20"/>
        </w:rPr>
        <w:t xml:space="preserve">On rectangular ducts, the cross sectional area shall be divided into the number of equal areas in accordance with EPA </w:t>
      </w:r>
      <w:r w:rsidRPr="00144851">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Work Platforms</w:t>
      </w:r>
      <w:r w:rsidRPr="00144851">
        <w:rPr>
          <w:rFonts w:ascii="TimesNewRomanPSMT" w:hAnsi="TimesNewRomanPSMT" w:cs="TimesNewRomanPSMT"/>
          <w:sz w:val="20"/>
        </w:rPr>
        <w:t>.</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 xml:space="preserve">Minimum size of the working platform shall be 24 square feet in area. Platforms shall be at least 3 feet wide. </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2 sampling ports, the platform shall extend at least 110 degrees around the stack.</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more than two sampling ports, the work platform shall extend 360 degrees around the stack.</w:t>
      </w:r>
    </w:p>
    <w:p w:rsidR="009E78CF" w:rsidRPr="00144851" w:rsidRDefault="009E78CF" w:rsidP="002B31C6">
      <w:pPr>
        <w:widowControl w:val="0"/>
        <w:numPr>
          <w:ilvl w:val="0"/>
          <w:numId w:val="30"/>
        </w:numPr>
        <w:autoSpaceDE w:val="0"/>
        <w:autoSpaceDN w:val="0"/>
        <w:adjustRightInd w:val="0"/>
        <w:spacing w:after="120"/>
        <w:rPr>
          <w:rFonts w:ascii="TimesNewRomanPSMT" w:hAnsi="TimesNewRomanPSMT" w:cs="TimesNewRomanPSMT"/>
          <w:sz w:val="20"/>
        </w:rPr>
      </w:pPr>
      <w:r w:rsidRPr="00144851">
        <w:rPr>
          <w:sz w:val="20"/>
        </w:rPr>
        <w:t>All platforms shall be equipped with an adequate safety rail (ropes are not acceptable), toe board, and hinged floor-opening</w:t>
      </w:r>
      <w:r w:rsidRPr="00144851">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Access to Work Platform</w:t>
      </w:r>
      <w:r w:rsidRPr="00144851">
        <w:rPr>
          <w:rFonts w:ascii="TimesNewRomanPSMT" w:hAnsi="TimesNewRomanPSMT" w:cs="TimesNewRomanPSMT"/>
          <w:sz w:val="20"/>
        </w:rPr>
        <w:t xml:space="preserve">. </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Walkways over free-fall areas shall be equipped with safety rails and toe boards.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Electrical Power</w:t>
      </w:r>
      <w:r w:rsidRPr="00144851">
        <w:rPr>
          <w:rFonts w:ascii="TimesNewRomanPSMT" w:hAnsi="TimesNewRomanPSMT" w:cs="TimesNewRomanPSMT"/>
          <w:sz w:val="20"/>
        </w:rPr>
        <w: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minimum of two 120-volt AC, 20-amp outlets shall be provided at the sampling platform within 20 feet of each sampling port.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Equipment Support</w:t>
      </w:r>
      <w:r w:rsidRPr="00144851">
        <w:rPr>
          <w:rFonts w:ascii="TimesNewRomanPSMT" w:hAnsi="TimesNewRomanPSMT" w:cs="TimesNewRomanPSMT"/>
          <w:sz w:val="20"/>
        </w:rPr>
        <w: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three-quarter inch eyebolt and an angle bracket shall be attached directly above each port on vertical stacks and above each row of sampling ports on the sides of horizontal ducts.</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lastRenderedPageBreak/>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complete monorail or dual rail arrangement may be substituted for the eyebolt and bracket.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sz w:val="20"/>
        </w:rPr>
        <w:t>[Rule 62-297.310(6), F.A.C.]</w:t>
      </w:r>
    </w:p>
    <w:p w:rsidR="009E78CF" w:rsidRPr="00144851" w:rsidRDefault="009E78CF" w:rsidP="002B31C6">
      <w:pPr>
        <w:widowControl w:val="0"/>
        <w:numPr>
          <w:ilvl w:val="0"/>
          <w:numId w:val="38"/>
        </w:numPr>
        <w:spacing w:after="120"/>
        <w:rPr>
          <w:rFonts w:ascii="TimesNewRomanPSMT" w:hAnsi="TimesNewRomanPSMT" w:cs="TimesNewRomanPSMT"/>
          <w:sz w:val="20"/>
        </w:rPr>
      </w:pPr>
      <w:r w:rsidRPr="00144851">
        <w:rPr>
          <w:sz w:val="20"/>
          <w:u w:val="single"/>
        </w:rPr>
        <w:t>Frequency of Compliance Tests</w:t>
      </w:r>
      <w:r w:rsidRPr="00144851">
        <w:rPr>
          <w:sz w:val="20"/>
        </w:rPr>
        <w:t xml:space="preserve">:  The following provisions apply only to those emissions units that are subject to an </w:t>
      </w:r>
      <w:r w:rsidRPr="00144851">
        <w:rPr>
          <w:rFonts w:ascii="TimesNewRomanPSMT" w:hAnsi="TimesNewRomanPSMT" w:cs="TimesNewRomanPSMT"/>
          <w:sz w:val="20"/>
        </w:rPr>
        <w:t>emissions limiting standard for which compliance testing is required.</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General Compliance Testing</w:t>
      </w:r>
      <w:r w:rsidRPr="00144851">
        <w:rPr>
          <w:rFonts w:ascii="TimesNewRomanPSMT" w:hAnsi="TimesNewRomanPSMT" w:cs="TimesNewRomanPSMT"/>
          <w:sz w:val="20"/>
        </w:rPr>
        <w: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Did not operate; or</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In the case of a fuel burning emissions unit, burned liquid and/or solid fuel for a total of no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Visible emissions, if there is an applicable standard;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c. Each NESHAP pollutant, if there is an applicable emission standard.</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 xml:space="preserve">For fossil fuel steam generators on a semi-annual particulate matter emission compliance testing schedule, a </w:t>
      </w:r>
      <w:r w:rsidRPr="00144851">
        <w:rPr>
          <w:rFonts w:ascii="TimesNewRomanPSMT" w:hAnsi="TimesNewRomanPSMT" w:cs="TimesNewRomanPSMT"/>
          <w:sz w:val="20"/>
        </w:rPr>
        <w:lastRenderedPageBreak/>
        <w:t>compliance test shall not be required for any six-month period in which liquid and/or solid fuel is not burned for more than 200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 xml:space="preserve">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 </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Special Compliance Tests</w:t>
      </w:r>
      <w:r w:rsidRPr="00144851">
        <w:rPr>
          <w:rFonts w:ascii="TimesNewRomanPSMT" w:hAnsi="TimesNewRomanPSMT" w:cs="TimesNewRomanPSMT"/>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Waiver of Compliance Test Requirements</w:t>
      </w:r>
      <w:r w:rsidRPr="00144851">
        <w:rPr>
          <w:rFonts w:ascii="TimesNewRomanPSMT" w:hAnsi="TimesNewRomanPSMT" w:cs="TimesNewRomanPSMT"/>
          <w:sz w:val="20"/>
        </w:rPr>
        <w:t>.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rFonts w:ascii="TimesNewRomanPSMT" w:hAnsi="TimesNewRomanPSMT" w:cs="TimesNewRomanPSMT"/>
          <w:sz w:val="20"/>
        </w:rPr>
        <w:t>[Rule 62-297.310(7), F.A.C.]</w:t>
      </w:r>
    </w:p>
    <w:p w:rsidR="009E78CF" w:rsidRPr="00144851" w:rsidRDefault="009E78CF" w:rsidP="009E78CF">
      <w:pPr>
        <w:widowControl w:val="0"/>
        <w:spacing w:before="60" w:after="120"/>
        <w:rPr>
          <w:b/>
          <w:caps/>
          <w:sz w:val="20"/>
        </w:rPr>
      </w:pPr>
      <w:r w:rsidRPr="00144851">
        <w:rPr>
          <w:b/>
          <w:caps/>
          <w:sz w:val="20"/>
        </w:rPr>
        <w:t>Records and Reports</w:t>
      </w:r>
    </w:p>
    <w:p w:rsidR="009E78CF" w:rsidRPr="00144851" w:rsidRDefault="009E78CF" w:rsidP="002B31C6">
      <w:pPr>
        <w:widowControl w:val="0"/>
        <w:numPr>
          <w:ilvl w:val="0"/>
          <w:numId w:val="38"/>
        </w:numPr>
        <w:spacing w:after="120"/>
        <w:rPr>
          <w:sz w:val="20"/>
          <w:u w:val="single"/>
        </w:rPr>
      </w:pPr>
      <w:r w:rsidRPr="00144851">
        <w:rPr>
          <w:sz w:val="20"/>
          <w:u w:val="single"/>
        </w:rPr>
        <w:t>Test Reports</w:t>
      </w:r>
      <w:r w:rsidRPr="00144851">
        <w:rPr>
          <w:sz w:val="20"/>
        </w:rPr>
        <w: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owner or operator of an emissions unit for which a compliance test is required shall file a report with the Department on the results of each such test.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required test report shall be filed with the Department as soon as practical but no later than 45 days after the last sampling run of each test is completed.</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9E78CF" w:rsidRPr="00144851" w:rsidRDefault="009E78CF" w:rsidP="009E78CF">
      <w:pPr>
        <w:widowControl w:val="0"/>
        <w:spacing w:after="120"/>
        <w:ind w:left="1080" w:hanging="360"/>
        <w:rPr>
          <w:sz w:val="20"/>
        </w:rPr>
      </w:pPr>
      <w:r w:rsidRPr="00144851">
        <w:rPr>
          <w:sz w:val="20"/>
        </w:rPr>
        <w:t>1.</w:t>
      </w:r>
      <w:r w:rsidRPr="00144851">
        <w:rPr>
          <w:sz w:val="20"/>
        </w:rPr>
        <w:tab/>
        <w:t>The type, location, and designation of the emissions unit tested.</w:t>
      </w:r>
    </w:p>
    <w:p w:rsidR="009E78CF" w:rsidRPr="00144851" w:rsidRDefault="009E78CF" w:rsidP="009E78CF">
      <w:pPr>
        <w:widowControl w:val="0"/>
        <w:spacing w:after="120"/>
        <w:ind w:left="1080" w:hanging="360"/>
        <w:rPr>
          <w:sz w:val="20"/>
        </w:rPr>
      </w:pPr>
      <w:r w:rsidRPr="00144851">
        <w:rPr>
          <w:sz w:val="20"/>
        </w:rPr>
        <w:t>2.</w:t>
      </w:r>
      <w:r w:rsidRPr="00144851">
        <w:rPr>
          <w:sz w:val="20"/>
        </w:rPr>
        <w:tab/>
        <w:t>The facility at which the emissions unit is located.</w:t>
      </w:r>
    </w:p>
    <w:p w:rsidR="009E78CF" w:rsidRPr="00144851" w:rsidRDefault="009E78CF" w:rsidP="009E78CF">
      <w:pPr>
        <w:widowControl w:val="0"/>
        <w:spacing w:after="120"/>
        <w:ind w:left="1080" w:hanging="360"/>
        <w:rPr>
          <w:sz w:val="20"/>
        </w:rPr>
      </w:pPr>
      <w:r w:rsidRPr="00144851">
        <w:rPr>
          <w:sz w:val="20"/>
        </w:rPr>
        <w:t>3.</w:t>
      </w:r>
      <w:r w:rsidRPr="00144851">
        <w:rPr>
          <w:sz w:val="20"/>
        </w:rPr>
        <w:tab/>
        <w:t>The owner or operator of the emissions unit.</w:t>
      </w:r>
    </w:p>
    <w:p w:rsidR="009E78CF" w:rsidRPr="00144851" w:rsidRDefault="009E78CF" w:rsidP="009E78CF">
      <w:pPr>
        <w:widowControl w:val="0"/>
        <w:spacing w:after="120"/>
        <w:ind w:left="1080" w:hanging="360"/>
        <w:rPr>
          <w:sz w:val="20"/>
        </w:rPr>
      </w:pPr>
      <w:r w:rsidRPr="00144851">
        <w:rPr>
          <w:sz w:val="20"/>
        </w:rPr>
        <w:t>4.</w:t>
      </w:r>
      <w:r w:rsidRPr="00144851">
        <w:rPr>
          <w:sz w:val="20"/>
        </w:rPr>
        <w:tab/>
        <w:t>The normal type and amount of fuels used and materials processed, and the types and amounts of fuels used and material processed during each test run.</w:t>
      </w:r>
    </w:p>
    <w:p w:rsidR="009E78CF" w:rsidRPr="00144851" w:rsidRDefault="009E78CF" w:rsidP="009E78CF">
      <w:pPr>
        <w:widowControl w:val="0"/>
        <w:spacing w:after="120"/>
        <w:ind w:left="1080" w:hanging="360"/>
        <w:rPr>
          <w:sz w:val="20"/>
        </w:rPr>
      </w:pPr>
      <w:r w:rsidRPr="00144851">
        <w:rPr>
          <w:sz w:val="20"/>
        </w:rPr>
        <w:t>5.</w:t>
      </w:r>
      <w:r w:rsidRPr="00144851">
        <w:rPr>
          <w:sz w:val="20"/>
        </w:rPr>
        <w:tab/>
        <w:t>The means, raw data and computations used to determine the amount of fuels used and materials processed, if necessary to determine compliance with an applicable emission limiting standard.</w:t>
      </w:r>
    </w:p>
    <w:p w:rsidR="009E78CF" w:rsidRPr="00144851" w:rsidRDefault="009E78CF" w:rsidP="009E78CF">
      <w:pPr>
        <w:widowControl w:val="0"/>
        <w:spacing w:after="120"/>
        <w:ind w:left="1080" w:hanging="360"/>
        <w:rPr>
          <w:sz w:val="20"/>
        </w:rPr>
      </w:pPr>
      <w:r w:rsidRPr="00144851">
        <w:rPr>
          <w:sz w:val="20"/>
        </w:rPr>
        <w:t>6.</w:t>
      </w:r>
      <w:r w:rsidRPr="00144851">
        <w:rPr>
          <w:sz w:val="20"/>
        </w:rPr>
        <w:tab/>
        <w:t xml:space="preserve">The type of air pollution control devices installed on the emissions unit, their general condition, their normal </w:t>
      </w:r>
      <w:r w:rsidRPr="00144851">
        <w:rPr>
          <w:sz w:val="20"/>
        </w:rPr>
        <w:lastRenderedPageBreak/>
        <w:t>operating parameters (pressure drops, total operating current and GPM scrubber water), and their operating parameters during each test run.</w:t>
      </w:r>
    </w:p>
    <w:p w:rsidR="009E78CF" w:rsidRPr="00144851" w:rsidRDefault="009E78CF" w:rsidP="009E78CF">
      <w:pPr>
        <w:widowControl w:val="0"/>
        <w:spacing w:after="120"/>
        <w:ind w:left="1080" w:hanging="360"/>
        <w:rPr>
          <w:sz w:val="20"/>
        </w:rPr>
      </w:pPr>
      <w:r w:rsidRPr="00144851">
        <w:rPr>
          <w:sz w:val="20"/>
        </w:rPr>
        <w:t>7.</w:t>
      </w:r>
      <w:r w:rsidRPr="00144851">
        <w:rPr>
          <w:sz w:val="20"/>
        </w:rPr>
        <w:tab/>
        <w:t>A sketch of the duct within 8 stack diameters upstream and 2 stack diameters downstream of the sampling ports, including the distance to any upstream and downstream bends or other flow disturbances.</w:t>
      </w:r>
    </w:p>
    <w:p w:rsidR="009E78CF" w:rsidRPr="00144851" w:rsidRDefault="009E78CF" w:rsidP="009E78CF">
      <w:pPr>
        <w:widowControl w:val="0"/>
        <w:spacing w:after="120"/>
        <w:ind w:left="1080" w:hanging="360"/>
        <w:rPr>
          <w:sz w:val="20"/>
        </w:rPr>
      </w:pPr>
      <w:r w:rsidRPr="00144851">
        <w:rPr>
          <w:sz w:val="20"/>
        </w:rPr>
        <w:t>8.</w:t>
      </w:r>
      <w:r w:rsidRPr="00144851">
        <w:rPr>
          <w:sz w:val="20"/>
        </w:rPr>
        <w:tab/>
        <w:t>The date, starting time and duration of each sampling run.</w:t>
      </w:r>
    </w:p>
    <w:p w:rsidR="009E78CF" w:rsidRPr="00144851" w:rsidRDefault="009E78CF" w:rsidP="009E78CF">
      <w:pPr>
        <w:widowControl w:val="0"/>
        <w:spacing w:after="120"/>
        <w:ind w:left="1080" w:hanging="360"/>
        <w:rPr>
          <w:sz w:val="20"/>
        </w:rPr>
      </w:pPr>
      <w:r w:rsidRPr="00144851">
        <w:rPr>
          <w:sz w:val="20"/>
        </w:rPr>
        <w:t>9.</w:t>
      </w:r>
      <w:r w:rsidRPr="00144851">
        <w:rPr>
          <w:sz w:val="20"/>
        </w:rPr>
        <w:tab/>
        <w:t>The test procedures used, including any alternative procedures authorized pursuant to Rule 62-297.620, F.A.C.   Where optional procedures are authorized in this chapter, indicate which option was used.</w:t>
      </w:r>
    </w:p>
    <w:p w:rsidR="009E78CF" w:rsidRPr="00144851" w:rsidRDefault="009E78CF" w:rsidP="009E78CF">
      <w:pPr>
        <w:widowControl w:val="0"/>
        <w:spacing w:after="120"/>
        <w:ind w:left="1080" w:hanging="360"/>
        <w:rPr>
          <w:sz w:val="20"/>
        </w:rPr>
      </w:pPr>
      <w:r w:rsidRPr="00144851">
        <w:rPr>
          <w:sz w:val="20"/>
        </w:rPr>
        <w:t>10.</w:t>
      </w:r>
      <w:r w:rsidRPr="00144851">
        <w:rPr>
          <w:sz w:val="20"/>
        </w:rPr>
        <w:tab/>
        <w:t>The number of points sampled and configuration and location of the sampling plane.</w:t>
      </w:r>
    </w:p>
    <w:p w:rsidR="009E78CF" w:rsidRPr="00144851" w:rsidRDefault="009E78CF" w:rsidP="009E78CF">
      <w:pPr>
        <w:widowControl w:val="0"/>
        <w:spacing w:after="120"/>
        <w:ind w:left="1080" w:hanging="360"/>
        <w:rPr>
          <w:sz w:val="20"/>
        </w:rPr>
      </w:pPr>
      <w:r w:rsidRPr="00144851">
        <w:rPr>
          <w:sz w:val="20"/>
        </w:rPr>
        <w:t>11.</w:t>
      </w:r>
      <w:r w:rsidRPr="00144851">
        <w:rPr>
          <w:sz w:val="20"/>
        </w:rPr>
        <w:tab/>
        <w:t>For each sampling point for each run, the dry gas meter reading, velocity head, pressure drop across the stack, temperatures, average meter temperatures and sample time per point.</w:t>
      </w:r>
    </w:p>
    <w:p w:rsidR="009E78CF" w:rsidRPr="00144851" w:rsidRDefault="009E78CF" w:rsidP="009E78CF">
      <w:pPr>
        <w:widowControl w:val="0"/>
        <w:spacing w:after="120"/>
        <w:ind w:left="1080" w:hanging="360"/>
        <w:rPr>
          <w:sz w:val="20"/>
        </w:rPr>
      </w:pPr>
      <w:r w:rsidRPr="00144851">
        <w:rPr>
          <w:sz w:val="20"/>
        </w:rPr>
        <w:t>12.</w:t>
      </w:r>
      <w:r w:rsidRPr="00144851">
        <w:rPr>
          <w:sz w:val="20"/>
        </w:rPr>
        <w:tab/>
        <w:t>The type, manufacturer and configuration of the sampling equipment used.</w:t>
      </w:r>
    </w:p>
    <w:p w:rsidR="009E78CF" w:rsidRPr="00144851" w:rsidRDefault="009E78CF" w:rsidP="009E78CF">
      <w:pPr>
        <w:widowControl w:val="0"/>
        <w:spacing w:after="120"/>
        <w:ind w:left="1080" w:hanging="360"/>
        <w:rPr>
          <w:sz w:val="20"/>
        </w:rPr>
      </w:pPr>
      <w:r w:rsidRPr="00144851">
        <w:rPr>
          <w:sz w:val="20"/>
        </w:rPr>
        <w:t>13.</w:t>
      </w:r>
      <w:r w:rsidRPr="00144851">
        <w:rPr>
          <w:sz w:val="20"/>
        </w:rPr>
        <w:tab/>
        <w:t>Data related to the required calibration of the test equipment.</w:t>
      </w:r>
    </w:p>
    <w:p w:rsidR="009E78CF" w:rsidRPr="00144851" w:rsidRDefault="009E78CF" w:rsidP="009E78CF">
      <w:pPr>
        <w:widowControl w:val="0"/>
        <w:spacing w:after="120"/>
        <w:ind w:left="1080" w:hanging="360"/>
        <w:rPr>
          <w:sz w:val="20"/>
        </w:rPr>
      </w:pPr>
      <w:r w:rsidRPr="00144851">
        <w:rPr>
          <w:sz w:val="20"/>
        </w:rPr>
        <w:t>14.</w:t>
      </w:r>
      <w:r w:rsidRPr="00144851">
        <w:rPr>
          <w:sz w:val="20"/>
        </w:rPr>
        <w:tab/>
        <w:t>Data on the identification, processing and weights of all filters used.</w:t>
      </w:r>
    </w:p>
    <w:p w:rsidR="009E78CF" w:rsidRPr="00144851" w:rsidRDefault="009E78CF" w:rsidP="009E78CF">
      <w:pPr>
        <w:widowControl w:val="0"/>
        <w:spacing w:after="120"/>
        <w:ind w:left="1080" w:hanging="360"/>
        <w:rPr>
          <w:sz w:val="20"/>
        </w:rPr>
      </w:pPr>
      <w:r w:rsidRPr="00144851">
        <w:rPr>
          <w:sz w:val="20"/>
        </w:rPr>
        <w:t>15.</w:t>
      </w:r>
      <w:r w:rsidRPr="00144851">
        <w:rPr>
          <w:sz w:val="20"/>
        </w:rPr>
        <w:tab/>
        <w:t>Data on the types and amounts of any chemical solutions used.</w:t>
      </w:r>
    </w:p>
    <w:p w:rsidR="009E78CF" w:rsidRPr="00144851" w:rsidRDefault="009E78CF" w:rsidP="009E78CF">
      <w:pPr>
        <w:widowControl w:val="0"/>
        <w:spacing w:after="120"/>
        <w:ind w:left="1080" w:hanging="360"/>
        <w:rPr>
          <w:sz w:val="20"/>
        </w:rPr>
      </w:pPr>
      <w:r w:rsidRPr="00144851">
        <w:rPr>
          <w:sz w:val="20"/>
        </w:rPr>
        <w:t>16.</w:t>
      </w:r>
      <w:r w:rsidRPr="00144851">
        <w:rPr>
          <w:sz w:val="20"/>
        </w:rPr>
        <w:tab/>
        <w:t>Data on the amount of pollutant collected from each sampling probe, the filters, and the impingers, are reported separately for the compliance test.</w:t>
      </w:r>
    </w:p>
    <w:p w:rsidR="009E78CF" w:rsidRPr="00144851" w:rsidRDefault="009E78CF" w:rsidP="009E78CF">
      <w:pPr>
        <w:widowControl w:val="0"/>
        <w:spacing w:after="120"/>
        <w:ind w:left="1080" w:hanging="360"/>
        <w:rPr>
          <w:sz w:val="20"/>
        </w:rPr>
      </w:pPr>
      <w:r w:rsidRPr="00144851">
        <w:rPr>
          <w:sz w:val="20"/>
        </w:rPr>
        <w:t>17.</w:t>
      </w:r>
      <w:r w:rsidRPr="00144851">
        <w:rPr>
          <w:sz w:val="20"/>
        </w:rPr>
        <w:tab/>
        <w:t xml:space="preserve">The names of </w:t>
      </w:r>
      <w:proofErr w:type="gramStart"/>
      <w:r w:rsidRPr="00144851">
        <w:rPr>
          <w:sz w:val="20"/>
        </w:rPr>
        <w:t>individuals</w:t>
      </w:r>
      <w:proofErr w:type="gramEnd"/>
      <w:r w:rsidRPr="00144851">
        <w:rPr>
          <w:sz w:val="20"/>
        </w:rPr>
        <w:t xml:space="preserve"> who furnished the process variable data, conducted the test, analyzed the samples and prepared the report.</w:t>
      </w:r>
    </w:p>
    <w:p w:rsidR="009E78CF" w:rsidRPr="00144851" w:rsidRDefault="009E78CF" w:rsidP="009E78CF">
      <w:pPr>
        <w:widowControl w:val="0"/>
        <w:spacing w:after="120"/>
        <w:ind w:left="1080" w:hanging="360"/>
        <w:rPr>
          <w:sz w:val="20"/>
        </w:rPr>
      </w:pPr>
      <w:r w:rsidRPr="00144851">
        <w:rPr>
          <w:sz w:val="20"/>
        </w:rPr>
        <w:t>18.</w:t>
      </w:r>
      <w:r w:rsidRPr="00144851">
        <w:rPr>
          <w:sz w:val="20"/>
        </w:rPr>
        <w:tab/>
        <w:t>All measured and calculated data required to be determined by each applicable test procedure for each run.</w:t>
      </w:r>
    </w:p>
    <w:p w:rsidR="009E78CF" w:rsidRPr="00144851" w:rsidRDefault="009E78CF" w:rsidP="009E78CF">
      <w:pPr>
        <w:widowControl w:val="0"/>
        <w:spacing w:after="120"/>
        <w:ind w:left="1080" w:hanging="360"/>
        <w:rPr>
          <w:sz w:val="20"/>
        </w:rPr>
      </w:pPr>
      <w:r w:rsidRPr="00144851">
        <w:rPr>
          <w:sz w:val="20"/>
        </w:rPr>
        <w:t>19.</w:t>
      </w:r>
      <w:r w:rsidRPr="00144851">
        <w:rPr>
          <w:sz w:val="20"/>
        </w:rPr>
        <w:tab/>
        <w:t>The detailed calculations for one run that relate the collected data to the calculated emission rate.</w:t>
      </w:r>
    </w:p>
    <w:p w:rsidR="009E78CF" w:rsidRPr="00144851" w:rsidRDefault="009E78CF" w:rsidP="009E78CF">
      <w:pPr>
        <w:widowControl w:val="0"/>
        <w:spacing w:after="120"/>
        <w:ind w:left="1080" w:hanging="360"/>
        <w:rPr>
          <w:sz w:val="20"/>
        </w:rPr>
      </w:pPr>
      <w:r w:rsidRPr="00144851">
        <w:rPr>
          <w:sz w:val="20"/>
        </w:rPr>
        <w:t>20.</w:t>
      </w:r>
      <w:r w:rsidRPr="00144851">
        <w:rPr>
          <w:sz w:val="20"/>
        </w:rPr>
        <w:tab/>
        <w:t>The applicable emission standard and the resulting maximum allowable emission rate for the emissions unit plus the test result in the same form and unit of measure.</w:t>
      </w:r>
    </w:p>
    <w:p w:rsidR="009E78CF" w:rsidRPr="00144851" w:rsidRDefault="009E78CF" w:rsidP="009E78CF">
      <w:pPr>
        <w:pStyle w:val="BodyTextIndent"/>
        <w:widowControl w:val="0"/>
        <w:numPr>
          <w:ilvl w:val="0"/>
          <w:numId w:val="0"/>
        </w:numPr>
        <w:ind w:left="1080" w:hanging="360"/>
        <w:rPr>
          <w:sz w:val="20"/>
        </w:rPr>
      </w:pPr>
      <w:r w:rsidRPr="00144851">
        <w:rPr>
          <w:sz w:val="20"/>
        </w:rPr>
        <w:t>21.</w:t>
      </w:r>
      <w:r w:rsidRPr="00144851">
        <w:rPr>
          <w:sz w:val="20"/>
        </w:rPr>
        <w:tab/>
        <w:t xml:space="preserve">A certification </w:t>
      </w:r>
      <w:proofErr w:type="gramStart"/>
      <w:r w:rsidRPr="00144851">
        <w:rPr>
          <w:sz w:val="20"/>
        </w:rPr>
        <w:t>that, to the knowledge of the owner or his authorized agent, all data submitted are</w:t>
      </w:r>
      <w:proofErr w:type="gramEnd"/>
      <w:r w:rsidRPr="00144851">
        <w:rPr>
          <w:sz w:val="20"/>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91539" w:rsidRPr="00144851" w:rsidRDefault="009E78CF" w:rsidP="00E101D7">
      <w:pPr>
        <w:widowControl w:val="0"/>
        <w:tabs>
          <w:tab w:val="left" w:pos="504"/>
          <w:tab w:val="left" w:pos="720"/>
          <w:tab w:val="left" w:pos="1008"/>
          <w:tab w:val="left" w:leader="dot" w:pos="9504"/>
        </w:tabs>
        <w:spacing w:after="120"/>
        <w:rPr>
          <w:sz w:val="20"/>
        </w:rPr>
      </w:pPr>
      <w:r w:rsidRPr="00144851">
        <w:rPr>
          <w:sz w:val="20"/>
        </w:rPr>
        <w:t>[Rule 62-297.310(8), F.A.C.]</w:t>
      </w: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490574">
          <w:headerReference w:type="even" r:id="rId14"/>
          <w:headerReference w:type="default" r:id="rId15"/>
          <w:footerReference w:type="default" r:id="rId16"/>
          <w:headerReference w:type="first" r:id="rId17"/>
          <w:pgSz w:w="12240" w:h="15840" w:code="1"/>
          <w:pgMar w:top="720" w:right="1008" w:bottom="720" w:left="1008" w:header="720" w:footer="576" w:gutter="0"/>
          <w:paperSrc w:first="7" w:other="7"/>
          <w:pgNumType w:start="1"/>
          <w:cols w:space="720"/>
        </w:sectPr>
      </w:pPr>
    </w:p>
    <w:p w:rsidR="008561AB" w:rsidRPr="00144851" w:rsidRDefault="008561AB" w:rsidP="008561AB">
      <w:pPr>
        <w:spacing w:after="120"/>
        <w:rPr>
          <w:sz w:val="20"/>
        </w:rPr>
      </w:pPr>
      <w:r w:rsidRPr="00144851">
        <w:rPr>
          <w:sz w:val="20"/>
        </w:rPr>
        <w:lastRenderedPageBreak/>
        <w:t xml:space="preserve">Pursuant to Rule 62-213.440(1)(b)1.a., F.A.C., the CAM plans that are included in this appendix contain the monitoring requirements necessary to satisfy 40 CFR 64.  Conditions 1-17 are generic conditions applicable to all emissions units that are subject to the </w:t>
      </w:r>
      <w:smartTag w:uri="urn:schemas-microsoft-com:office:smarttags" w:element="place">
        <w:r w:rsidRPr="00144851">
          <w:rPr>
            <w:sz w:val="20"/>
          </w:rPr>
          <w:t>CAM</w:t>
        </w:r>
      </w:smartTag>
      <w:r w:rsidRPr="00144851">
        <w:rPr>
          <w:sz w:val="20"/>
        </w:rPr>
        <w:t xml:space="preserve"> requirements.  Specific requirements related to each emissions unit are contained in the attached tables.</w:t>
      </w:r>
    </w:p>
    <w:p w:rsidR="008561AB" w:rsidRPr="00144851" w:rsidRDefault="008561AB" w:rsidP="008561AB">
      <w:pPr>
        <w:spacing w:after="120"/>
        <w:rPr>
          <w:b/>
          <w:sz w:val="20"/>
        </w:rPr>
      </w:pPr>
      <w:r w:rsidRPr="00144851">
        <w:rPr>
          <w:b/>
          <w:sz w:val="20"/>
        </w:rPr>
        <w:t xml:space="preserve">40 CFR </w:t>
      </w:r>
      <w:proofErr w:type="gramStart"/>
      <w:r w:rsidRPr="00144851">
        <w:rPr>
          <w:b/>
          <w:sz w:val="20"/>
        </w:rPr>
        <w:t>64.6  Approval</w:t>
      </w:r>
      <w:proofErr w:type="gramEnd"/>
      <w:r w:rsidRPr="00144851">
        <w:rPr>
          <w:b/>
          <w:sz w:val="20"/>
        </w:rPr>
        <w:t xml:space="preserve"> of Monitoring</w:t>
      </w:r>
    </w:p>
    <w:p w:rsidR="008561AB" w:rsidRPr="00144851" w:rsidRDefault="008561AB" w:rsidP="002B31C6">
      <w:pPr>
        <w:numPr>
          <w:ilvl w:val="0"/>
          <w:numId w:val="16"/>
        </w:numPr>
        <w:spacing w:after="120"/>
        <w:rPr>
          <w:sz w:val="20"/>
        </w:rPr>
      </w:pPr>
      <w:r w:rsidRPr="00144851">
        <w:rPr>
          <w:sz w:val="20"/>
          <w:u w:val="single"/>
        </w:rPr>
        <w:t>Plans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are approved for the purposes of satisfying the requirements of 40 CFR 64.3.  [40 CFR 64.6(a)]</w:t>
      </w:r>
    </w:p>
    <w:p w:rsidR="008561AB" w:rsidRPr="00144851" w:rsidRDefault="008561AB" w:rsidP="002B31C6">
      <w:pPr>
        <w:numPr>
          <w:ilvl w:val="0"/>
          <w:numId w:val="16"/>
        </w:numPr>
        <w:spacing w:after="120"/>
        <w:rPr>
          <w:sz w:val="20"/>
        </w:rPr>
      </w:pPr>
      <w:r w:rsidRPr="00144851">
        <w:rPr>
          <w:sz w:val="20"/>
          <w:u w:val="single"/>
        </w:rPr>
        <w:t>Contents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include the following information:</w:t>
      </w:r>
    </w:p>
    <w:p w:rsidR="008561AB" w:rsidRPr="00144851" w:rsidRDefault="008561AB" w:rsidP="002B31C6">
      <w:pPr>
        <w:numPr>
          <w:ilvl w:val="0"/>
          <w:numId w:val="17"/>
        </w:numPr>
        <w:spacing w:after="120"/>
        <w:rPr>
          <w:sz w:val="20"/>
        </w:rPr>
      </w:pPr>
      <w:r w:rsidRPr="00144851">
        <w:rPr>
          <w:sz w:val="20"/>
        </w:rPr>
        <w:t>The indicators to be monitored (such as temperature, pressure drop, emissions, or similar parameter);</w:t>
      </w:r>
    </w:p>
    <w:p w:rsidR="008561AB" w:rsidRPr="00144851" w:rsidRDefault="008561AB" w:rsidP="002B31C6">
      <w:pPr>
        <w:numPr>
          <w:ilvl w:val="0"/>
          <w:numId w:val="17"/>
        </w:numPr>
        <w:spacing w:after="120"/>
        <w:rPr>
          <w:sz w:val="20"/>
        </w:rPr>
      </w:pPr>
      <w:r w:rsidRPr="00144851">
        <w:rPr>
          <w:sz w:val="20"/>
        </w:rPr>
        <w:t xml:space="preserve">The means or device to be used to measure the indicators (such as temperature measurement device, visual observation, or CEMS); and </w:t>
      </w:r>
    </w:p>
    <w:p w:rsidR="008561AB" w:rsidRPr="00144851" w:rsidRDefault="008561AB" w:rsidP="002B31C6">
      <w:pPr>
        <w:numPr>
          <w:ilvl w:val="0"/>
          <w:numId w:val="17"/>
        </w:numPr>
        <w:spacing w:after="120"/>
        <w:rPr>
          <w:sz w:val="20"/>
        </w:rPr>
      </w:pPr>
      <w:r w:rsidRPr="00144851">
        <w:rPr>
          <w:sz w:val="20"/>
        </w:rPr>
        <w:t xml:space="preserve">The performance requirements established to satisfy 40 CFR 64.3(b) or (d), as applicable. </w:t>
      </w:r>
    </w:p>
    <w:p w:rsidR="008561AB" w:rsidRPr="00144851" w:rsidRDefault="008561AB" w:rsidP="00BB084F">
      <w:pPr>
        <w:spacing w:after="120"/>
        <w:ind w:left="864" w:hanging="504"/>
        <w:rPr>
          <w:sz w:val="20"/>
        </w:rPr>
      </w:pPr>
      <w:r w:rsidRPr="00144851">
        <w:rPr>
          <w:sz w:val="20"/>
        </w:rPr>
        <w:t>[40 CFR 64.6(c</w:t>
      </w:r>
      <w:proofErr w:type="gramStart"/>
      <w:r w:rsidRPr="00144851">
        <w:rPr>
          <w:sz w:val="20"/>
        </w:rPr>
        <w:t>)(</w:t>
      </w:r>
      <w:proofErr w:type="gramEnd"/>
      <w:r w:rsidRPr="00144851">
        <w:rPr>
          <w:sz w:val="20"/>
        </w:rPr>
        <w:t>1)]</w:t>
      </w:r>
    </w:p>
    <w:p w:rsidR="008561AB" w:rsidRPr="00144851" w:rsidRDefault="008561AB" w:rsidP="002B31C6">
      <w:pPr>
        <w:numPr>
          <w:ilvl w:val="0"/>
          <w:numId w:val="16"/>
        </w:numPr>
        <w:spacing w:after="120"/>
        <w:rPr>
          <w:sz w:val="20"/>
        </w:rPr>
      </w:pPr>
      <w:r w:rsidRPr="00144851">
        <w:rPr>
          <w:sz w:val="20"/>
          <w:u w:val="single"/>
        </w:rPr>
        <w:t>Excursions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describe the means by which the owner or operator will define an exceedance of the permitted limits or an excursion from the stated indicator ranges and averaging periods for purposes of responding to and reporting exceedances or excursions.  [40 CFR 64.6(c)(2)]</w:t>
      </w:r>
    </w:p>
    <w:p w:rsidR="008561AB" w:rsidRPr="00144851" w:rsidRDefault="008561AB" w:rsidP="002B31C6">
      <w:pPr>
        <w:numPr>
          <w:ilvl w:val="0"/>
          <w:numId w:val="16"/>
        </w:numPr>
        <w:spacing w:after="120"/>
        <w:rPr>
          <w:sz w:val="20"/>
        </w:rPr>
      </w:pPr>
      <w:r w:rsidRPr="00144851">
        <w:rPr>
          <w:sz w:val="20"/>
          <w:u w:val="single"/>
        </w:rPr>
        <w:t>Required Monitoring</w:t>
      </w:r>
      <w:r w:rsidRPr="00144851">
        <w:rPr>
          <w:sz w:val="20"/>
        </w:rPr>
        <w:t xml:space="preserve">:  The permittee is required to conduct the monitoring specified in the CAM plan and shall fulfill the obligations specified in the </w:t>
      </w:r>
      <w:smartTag w:uri="urn:schemas-microsoft-com:office:smarttags" w:element="place">
        <w:r w:rsidR="00392928" w:rsidRPr="00144851">
          <w:rPr>
            <w:sz w:val="20"/>
          </w:rPr>
          <w:t>CAM</w:t>
        </w:r>
      </w:smartTag>
      <w:r w:rsidR="00392928" w:rsidRPr="00144851">
        <w:rPr>
          <w:sz w:val="20"/>
        </w:rPr>
        <w:t xml:space="preserve"> plan</w:t>
      </w:r>
      <w:r w:rsidRPr="00144851">
        <w:rPr>
          <w:sz w:val="20"/>
        </w:rPr>
        <w:t>.  [40 CFR 64.6(c)(3)]</w:t>
      </w:r>
    </w:p>
    <w:p w:rsidR="008561AB" w:rsidRPr="00144851" w:rsidRDefault="008561AB" w:rsidP="008561AB">
      <w:pPr>
        <w:spacing w:after="120"/>
        <w:rPr>
          <w:b/>
          <w:sz w:val="20"/>
        </w:rPr>
      </w:pPr>
      <w:r w:rsidRPr="00144851">
        <w:rPr>
          <w:b/>
          <w:sz w:val="20"/>
        </w:rPr>
        <w:t xml:space="preserve">40 CFR </w:t>
      </w:r>
      <w:proofErr w:type="gramStart"/>
      <w:r w:rsidRPr="00144851">
        <w:rPr>
          <w:b/>
          <w:sz w:val="20"/>
        </w:rPr>
        <w:t>64.7  Operation</w:t>
      </w:r>
      <w:proofErr w:type="gramEnd"/>
      <w:r w:rsidRPr="00144851">
        <w:rPr>
          <w:b/>
          <w:sz w:val="20"/>
        </w:rPr>
        <w:t xml:space="preserve"> of Approved Monitoring</w:t>
      </w:r>
    </w:p>
    <w:p w:rsidR="008561AB" w:rsidRPr="00144851" w:rsidRDefault="008561AB" w:rsidP="002B31C6">
      <w:pPr>
        <w:numPr>
          <w:ilvl w:val="0"/>
          <w:numId w:val="16"/>
        </w:numPr>
        <w:spacing w:after="120"/>
        <w:rPr>
          <w:sz w:val="20"/>
        </w:rPr>
      </w:pPr>
      <w:r w:rsidRPr="00144851">
        <w:rPr>
          <w:sz w:val="20"/>
          <w:u w:val="single"/>
        </w:rPr>
        <w:t>Commencement of Operation</w:t>
      </w:r>
      <w:r w:rsidRPr="00144851">
        <w:rPr>
          <w:sz w:val="20"/>
        </w:rPr>
        <w:t>:  The owner or operator shall conduct the monitoring required under this appendix upon the effective date of this Title V permit.  [40 CFR 64.7(a)]</w:t>
      </w:r>
    </w:p>
    <w:p w:rsidR="008561AB" w:rsidRPr="00144851" w:rsidRDefault="008561AB" w:rsidP="002B31C6">
      <w:pPr>
        <w:numPr>
          <w:ilvl w:val="0"/>
          <w:numId w:val="16"/>
        </w:numPr>
        <w:spacing w:after="120"/>
        <w:rPr>
          <w:sz w:val="20"/>
        </w:rPr>
      </w:pPr>
      <w:r w:rsidRPr="00144851">
        <w:rPr>
          <w:sz w:val="20"/>
          <w:u w:val="single"/>
        </w:rPr>
        <w:t>Proper Maintenance</w:t>
      </w:r>
      <w:r w:rsidRPr="00144851">
        <w:rPr>
          <w:sz w:val="20"/>
        </w:rPr>
        <w:t>:  At all times, the owner or operator shall maintain the monitoring, including but not limited to, maintaining necessary parts for routine repairs of the monitoring equipment.  [40 CFR 64.7(b)]</w:t>
      </w:r>
    </w:p>
    <w:p w:rsidR="008561AB" w:rsidRPr="00144851" w:rsidRDefault="008561AB" w:rsidP="002B31C6">
      <w:pPr>
        <w:numPr>
          <w:ilvl w:val="0"/>
          <w:numId w:val="16"/>
        </w:numPr>
        <w:spacing w:after="120"/>
        <w:rPr>
          <w:sz w:val="20"/>
        </w:rPr>
      </w:pPr>
      <w:r w:rsidRPr="00144851">
        <w:rPr>
          <w:sz w:val="20"/>
          <w:u w:val="single"/>
        </w:rPr>
        <w:t>Continued Operation</w:t>
      </w:r>
      <w:r w:rsidRPr="00144851">
        <w:rPr>
          <w:sz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8561AB" w:rsidRPr="00144851" w:rsidRDefault="008561AB" w:rsidP="002B31C6">
      <w:pPr>
        <w:numPr>
          <w:ilvl w:val="0"/>
          <w:numId w:val="16"/>
        </w:numPr>
        <w:spacing w:after="120"/>
        <w:rPr>
          <w:sz w:val="20"/>
        </w:rPr>
      </w:pPr>
      <w:r w:rsidRPr="00144851">
        <w:rPr>
          <w:sz w:val="20"/>
          <w:u w:val="single"/>
        </w:rPr>
        <w:t>Response to Excursions or Exceedances</w:t>
      </w:r>
      <w:r w:rsidRPr="00144851">
        <w:rPr>
          <w:sz w:val="20"/>
        </w:rPr>
        <w:t>:</w:t>
      </w:r>
    </w:p>
    <w:p w:rsidR="008561AB" w:rsidRPr="00144851" w:rsidRDefault="008561AB" w:rsidP="002B31C6">
      <w:pPr>
        <w:widowControl w:val="0"/>
        <w:numPr>
          <w:ilvl w:val="0"/>
          <w:numId w:val="18"/>
        </w:numPr>
        <w:spacing w:after="120"/>
        <w:rPr>
          <w:sz w:val="20"/>
        </w:rPr>
      </w:pPr>
      <w:r w:rsidRPr="00144851">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8561AB" w:rsidRPr="00144851" w:rsidRDefault="008561AB" w:rsidP="002B31C6">
      <w:pPr>
        <w:widowControl w:val="0"/>
        <w:numPr>
          <w:ilvl w:val="0"/>
          <w:numId w:val="18"/>
        </w:numPr>
        <w:spacing w:after="120"/>
        <w:rPr>
          <w:sz w:val="20"/>
        </w:rPr>
      </w:pPr>
      <w:r w:rsidRPr="00144851">
        <w:rPr>
          <w:sz w:val="20"/>
        </w:rPr>
        <w:t>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w:t>
      </w:r>
    </w:p>
    <w:p w:rsidR="008561AB" w:rsidRPr="00144851" w:rsidRDefault="008561AB" w:rsidP="008561AB">
      <w:pPr>
        <w:spacing w:after="120"/>
        <w:ind w:left="1008" w:hanging="504"/>
        <w:rPr>
          <w:sz w:val="20"/>
        </w:rPr>
      </w:pPr>
      <w:r w:rsidRPr="00144851">
        <w:rPr>
          <w:sz w:val="20"/>
        </w:rPr>
        <w:lastRenderedPageBreak/>
        <w:t>[40 CFR 64.7(d</w:t>
      </w:r>
      <w:proofErr w:type="gramStart"/>
      <w:r w:rsidRPr="00144851">
        <w:rPr>
          <w:sz w:val="20"/>
        </w:rPr>
        <w:t>)(</w:t>
      </w:r>
      <w:proofErr w:type="gramEnd"/>
      <w:r w:rsidRPr="00144851">
        <w:rPr>
          <w:sz w:val="20"/>
        </w:rPr>
        <w:t>1) and (2)]</w:t>
      </w:r>
    </w:p>
    <w:p w:rsidR="008561AB" w:rsidRPr="00144851" w:rsidRDefault="008561AB" w:rsidP="002B31C6">
      <w:pPr>
        <w:numPr>
          <w:ilvl w:val="0"/>
          <w:numId w:val="16"/>
        </w:numPr>
        <w:spacing w:after="120"/>
        <w:rPr>
          <w:sz w:val="20"/>
        </w:rPr>
      </w:pPr>
      <w:r w:rsidRPr="00144851">
        <w:rPr>
          <w:sz w:val="20"/>
          <w:u w:val="single"/>
        </w:rPr>
        <w:t>Documentation of Need for Improved Monitoring</w:t>
      </w:r>
      <w:r w:rsidRPr="00144851">
        <w:rPr>
          <w:sz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8561AB" w:rsidRPr="00144851" w:rsidRDefault="008561AB" w:rsidP="008561AB">
      <w:pPr>
        <w:spacing w:after="120"/>
        <w:rPr>
          <w:sz w:val="20"/>
        </w:rPr>
      </w:pPr>
      <w:r w:rsidRPr="00144851">
        <w:rPr>
          <w:b/>
          <w:sz w:val="20"/>
        </w:rPr>
        <w:t xml:space="preserve">40 CFR </w:t>
      </w:r>
      <w:proofErr w:type="gramStart"/>
      <w:r w:rsidRPr="00144851">
        <w:rPr>
          <w:b/>
          <w:sz w:val="20"/>
        </w:rPr>
        <w:t>64.8  Quality</w:t>
      </w:r>
      <w:proofErr w:type="gramEnd"/>
      <w:r w:rsidRPr="00144851">
        <w:rPr>
          <w:b/>
          <w:sz w:val="20"/>
        </w:rPr>
        <w:t xml:space="preserve"> Improvement Plan (QIP) Requirements</w:t>
      </w:r>
    </w:p>
    <w:p w:rsidR="008561AB" w:rsidRPr="00144851" w:rsidRDefault="008561AB" w:rsidP="002B31C6">
      <w:pPr>
        <w:numPr>
          <w:ilvl w:val="0"/>
          <w:numId w:val="16"/>
        </w:numPr>
        <w:spacing w:after="120"/>
        <w:rPr>
          <w:sz w:val="20"/>
        </w:rPr>
      </w:pPr>
      <w:r w:rsidRPr="00144851">
        <w:rPr>
          <w:sz w:val="20"/>
          <w:u w:val="single"/>
        </w:rPr>
        <w:t>Triggering a QIP</w:t>
      </w:r>
      <w:r w:rsidRPr="00144851">
        <w:rPr>
          <w:sz w:val="20"/>
        </w:rPr>
        <w:t xml:space="preserve">:  Based on a </w:t>
      </w:r>
      <w:r w:rsidR="000A4026" w:rsidRPr="00144851">
        <w:rPr>
          <w:sz w:val="20"/>
        </w:rPr>
        <w:t>determination that the owner or operator has not used acceptable procedures in response to an excursion or exceedance</w:t>
      </w:r>
      <w:r w:rsidRPr="00144851">
        <w:rPr>
          <w:sz w:val="20"/>
        </w:rPr>
        <w:t xml:space="preserve">, the permitting authority may require the owner or operator to develop and implement a QIP.  </w:t>
      </w:r>
      <w:r w:rsidR="000A4026" w:rsidRPr="00144851">
        <w:rPr>
          <w:sz w:val="20"/>
        </w:rPr>
        <w:t>A</w:t>
      </w:r>
      <w:r w:rsidRPr="00144851">
        <w:rPr>
          <w:sz w:val="20"/>
        </w:rPr>
        <w:t>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8561AB" w:rsidRPr="00144851" w:rsidRDefault="008561AB" w:rsidP="002B31C6">
      <w:pPr>
        <w:numPr>
          <w:ilvl w:val="0"/>
          <w:numId w:val="16"/>
        </w:numPr>
        <w:spacing w:after="120"/>
        <w:rPr>
          <w:sz w:val="20"/>
        </w:rPr>
      </w:pPr>
      <w:r w:rsidRPr="00144851">
        <w:rPr>
          <w:sz w:val="20"/>
          <w:u w:val="single"/>
        </w:rPr>
        <w:t>Elements of a QIP</w:t>
      </w:r>
      <w:r w:rsidRPr="00144851">
        <w:rPr>
          <w:sz w:val="20"/>
        </w:rPr>
        <w:t>:</w:t>
      </w:r>
    </w:p>
    <w:p w:rsidR="008561AB" w:rsidRPr="00144851" w:rsidRDefault="008561AB" w:rsidP="002B31C6">
      <w:pPr>
        <w:numPr>
          <w:ilvl w:val="0"/>
          <w:numId w:val="19"/>
        </w:numPr>
        <w:spacing w:after="120"/>
        <w:rPr>
          <w:sz w:val="20"/>
        </w:rPr>
      </w:pPr>
      <w:r w:rsidRPr="00144851">
        <w:rPr>
          <w:sz w:val="20"/>
        </w:rPr>
        <w:t xml:space="preserve">The owner or operator shall maintain a written QIP, if required, and have it available for inspection. </w:t>
      </w:r>
    </w:p>
    <w:p w:rsidR="008561AB" w:rsidRPr="00144851" w:rsidRDefault="008561AB" w:rsidP="002B31C6">
      <w:pPr>
        <w:numPr>
          <w:ilvl w:val="0"/>
          <w:numId w:val="19"/>
        </w:numPr>
        <w:spacing w:after="120"/>
        <w:rPr>
          <w:sz w:val="20"/>
        </w:rPr>
      </w:pPr>
      <w:r w:rsidRPr="00144851">
        <w:rPr>
          <w:sz w:val="20"/>
        </w:rPr>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8561AB" w:rsidRPr="00144851" w:rsidRDefault="008561AB" w:rsidP="002B31C6">
      <w:pPr>
        <w:numPr>
          <w:ilvl w:val="1"/>
          <w:numId w:val="19"/>
        </w:numPr>
        <w:spacing w:after="120"/>
        <w:ind w:left="1080"/>
        <w:rPr>
          <w:sz w:val="20"/>
        </w:rPr>
      </w:pPr>
      <w:r w:rsidRPr="00144851">
        <w:rPr>
          <w:sz w:val="20"/>
        </w:rPr>
        <w:t xml:space="preserve">Improved preventive maintenance practices. </w:t>
      </w:r>
    </w:p>
    <w:p w:rsidR="008561AB" w:rsidRPr="00144851" w:rsidRDefault="008561AB" w:rsidP="002B31C6">
      <w:pPr>
        <w:numPr>
          <w:ilvl w:val="1"/>
          <w:numId w:val="19"/>
        </w:numPr>
        <w:spacing w:after="120"/>
        <w:ind w:left="1080"/>
        <w:rPr>
          <w:sz w:val="20"/>
        </w:rPr>
      </w:pPr>
      <w:r w:rsidRPr="00144851">
        <w:rPr>
          <w:sz w:val="20"/>
        </w:rPr>
        <w:t xml:space="preserve">Process operation changes. </w:t>
      </w:r>
    </w:p>
    <w:p w:rsidR="008561AB" w:rsidRPr="00144851" w:rsidRDefault="008561AB" w:rsidP="002B31C6">
      <w:pPr>
        <w:numPr>
          <w:ilvl w:val="1"/>
          <w:numId w:val="19"/>
        </w:numPr>
        <w:spacing w:after="120"/>
        <w:ind w:left="1080"/>
        <w:rPr>
          <w:sz w:val="20"/>
        </w:rPr>
      </w:pPr>
      <w:r w:rsidRPr="00144851">
        <w:rPr>
          <w:sz w:val="20"/>
        </w:rPr>
        <w:t xml:space="preserve">Appropriate improvements to control methods. </w:t>
      </w:r>
    </w:p>
    <w:p w:rsidR="008561AB" w:rsidRPr="00144851" w:rsidRDefault="008561AB" w:rsidP="002B31C6">
      <w:pPr>
        <w:numPr>
          <w:ilvl w:val="1"/>
          <w:numId w:val="19"/>
        </w:numPr>
        <w:spacing w:after="120"/>
        <w:ind w:left="1080"/>
        <w:rPr>
          <w:sz w:val="20"/>
        </w:rPr>
      </w:pPr>
      <w:r w:rsidRPr="00144851">
        <w:rPr>
          <w:sz w:val="20"/>
        </w:rPr>
        <w:t xml:space="preserve">Other steps appropriate to correct control performance. </w:t>
      </w:r>
    </w:p>
    <w:p w:rsidR="008561AB" w:rsidRPr="00144851" w:rsidRDefault="008561AB" w:rsidP="002B31C6">
      <w:pPr>
        <w:numPr>
          <w:ilvl w:val="1"/>
          <w:numId w:val="19"/>
        </w:numPr>
        <w:spacing w:after="120"/>
        <w:ind w:left="1080"/>
        <w:rPr>
          <w:sz w:val="20"/>
        </w:rPr>
      </w:pPr>
      <w:r w:rsidRPr="00144851">
        <w:rPr>
          <w:sz w:val="20"/>
        </w:rPr>
        <w:t xml:space="preserve">More frequent or improved monitoring (only in conjunction with one or more </w:t>
      </w:r>
      <w:r w:rsidR="000A4026" w:rsidRPr="00144851">
        <w:rPr>
          <w:sz w:val="20"/>
        </w:rPr>
        <w:t xml:space="preserve">of these </w:t>
      </w:r>
      <w:r w:rsidRPr="00144851">
        <w:rPr>
          <w:sz w:val="20"/>
        </w:rPr>
        <w:t xml:space="preserve">steps). </w:t>
      </w:r>
    </w:p>
    <w:p w:rsidR="008561AB" w:rsidRPr="00144851" w:rsidRDefault="008561AB" w:rsidP="00BB084F">
      <w:pPr>
        <w:spacing w:after="120"/>
        <w:ind w:left="864" w:hanging="504"/>
        <w:rPr>
          <w:sz w:val="20"/>
        </w:rPr>
      </w:pPr>
      <w:r w:rsidRPr="00144851">
        <w:rPr>
          <w:sz w:val="20"/>
        </w:rPr>
        <w:t>[40 CFR 64.8(b)]</w:t>
      </w:r>
    </w:p>
    <w:p w:rsidR="008561AB" w:rsidRPr="00144851" w:rsidRDefault="008561AB" w:rsidP="002B31C6">
      <w:pPr>
        <w:numPr>
          <w:ilvl w:val="0"/>
          <w:numId w:val="16"/>
        </w:numPr>
        <w:spacing w:after="120"/>
        <w:rPr>
          <w:sz w:val="20"/>
        </w:rPr>
      </w:pPr>
      <w:r w:rsidRPr="00144851">
        <w:rPr>
          <w:sz w:val="20"/>
          <w:u w:val="single"/>
        </w:rPr>
        <w:t>QIP Notification</w:t>
      </w:r>
      <w:r w:rsidRPr="00144851">
        <w:rPr>
          <w:sz w:val="20"/>
        </w:rPr>
        <w:t>:  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8561AB" w:rsidRPr="00144851" w:rsidRDefault="008561AB" w:rsidP="002B31C6">
      <w:pPr>
        <w:numPr>
          <w:ilvl w:val="0"/>
          <w:numId w:val="16"/>
        </w:numPr>
        <w:spacing w:after="120"/>
        <w:rPr>
          <w:sz w:val="20"/>
        </w:rPr>
      </w:pPr>
      <w:r w:rsidRPr="00144851">
        <w:rPr>
          <w:sz w:val="20"/>
          <w:u w:val="single"/>
        </w:rPr>
        <w:t>Revised QIP</w:t>
      </w:r>
      <w:r w:rsidRPr="00144851">
        <w:rPr>
          <w:sz w:val="20"/>
        </w:rPr>
        <w:t xml:space="preserve">:  Following implementation of a QIP, upon any subsequent determination </w:t>
      </w:r>
      <w:r w:rsidR="005C7DC6" w:rsidRPr="00144851">
        <w:rPr>
          <w:sz w:val="20"/>
        </w:rPr>
        <w:t>that the owner or operator has not used acceptable procedures in response to an excursion or exceedance</w:t>
      </w:r>
      <w:r w:rsidRPr="00144851">
        <w:rPr>
          <w:sz w:val="20"/>
        </w:rPr>
        <w:t>, the permitting authority may require that an owner or operator make reasonable changes to the QIP if the QIP is found to ha</w:t>
      </w:r>
      <w:r w:rsidR="005C7DC6" w:rsidRPr="00144851">
        <w:rPr>
          <w:sz w:val="20"/>
        </w:rPr>
        <w:t>ve:</w:t>
      </w:r>
    </w:p>
    <w:p w:rsidR="008561AB" w:rsidRPr="00144851" w:rsidRDefault="008561AB" w:rsidP="002B31C6">
      <w:pPr>
        <w:numPr>
          <w:ilvl w:val="0"/>
          <w:numId w:val="20"/>
        </w:numPr>
        <w:spacing w:after="120"/>
        <w:rPr>
          <w:sz w:val="20"/>
        </w:rPr>
      </w:pPr>
      <w:r w:rsidRPr="00144851">
        <w:rPr>
          <w:sz w:val="20"/>
        </w:rPr>
        <w:t xml:space="preserve">Failed to address the cause of the control device performance problems; or </w:t>
      </w:r>
    </w:p>
    <w:p w:rsidR="008561AB" w:rsidRPr="00144851" w:rsidRDefault="008561AB" w:rsidP="002B31C6">
      <w:pPr>
        <w:numPr>
          <w:ilvl w:val="0"/>
          <w:numId w:val="20"/>
        </w:numPr>
        <w:spacing w:after="120"/>
        <w:rPr>
          <w:sz w:val="20"/>
        </w:rPr>
      </w:pPr>
      <w:r w:rsidRPr="00144851">
        <w:rPr>
          <w:sz w:val="20"/>
        </w:rPr>
        <w:t xml:space="preserve">Failed to provide adequate procedures for correcting control device performance problems as expeditiously as practicable in accordance with good air pollution control practices for minimizing emissions. </w:t>
      </w:r>
    </w:p>
    <w:p w:rsidR="008561AB" w:rsidRPr="00144851" w:rsidRDefault="008561AB" w:rsidP="00BB084F">
      <w:pPr>
        <w:spacing w:after="120"/>
        <w:ind w:left="360"/>
        <w:rPr>
          <w:sz w:val="20"/>
        </w:rPr>
      </w:pPr>
      <w:r w:rsidRPr="00144851">
        <w:rPr>
          <w:sz w:val="20"/>
        </w:rPr>
        <w:t>[40 CFR 64.8(d)]</w:t>
      </w:r>
    </w:p>
    <w:p w:rsidR="008561AB" w:rsidRPr="00144851" w:rsidRDefault="00BB084F" w:rsidP="002B31C6">
      <w:pPr>
        <w:numPr>
          <w:ilvl w:val="0"/>
          <w:numId w:val="16"/>
        </w:numPr>
        <w:spacing w:after="120"/>
        <w:rPr>
          <w:sz w:val="20"/>
        </w:rPr>
      </w:pPr>
      <w:r w:rsidRPr="00144851">
        <w:rPr>
          <w:sz w:val="20"/>
          <w:u w:val="single"/>
        </w:rPr>
        <w:t>Compliance and QIP Implementation</w:t>
      </w:r>
      <w:r w:rsidRPr="00144851">
        <w:rPr>
          <w:sz w:val="20"/>
        </w:rPr>
        <w:t xml:space="preserve">:  </w:t>
      </w:r>
      <w:r w:rsidR="008561AB" w:rsidRPr="00144851">
        <w:rPr>
          <w:sz w:val="20"/>
        </w:rPr>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8561AB" w:rsidRPr="00144851" w:rsidRDefault="008561AB" w:rsidP="008561AB">
      <w:pPr>
        <w:spacing w:after="120"/>
        <w:rPr>
          <w:sz w:val="20"/>
        </w:rPr>
      </w:pPr>
      <w:r w:rsidRPr="00144851">
        <w:rPr>
          <w:b/>
          <w:sz w:val="20"/>
        </w:rPr>
        <w:t xml:space="preserve">40 CFR </w:t>
      </w:r>
      <w:proofErr w:type="gramStart"/>
      <w:r w:rsidRPr="00144851">
        <w:rPr>
          <w:b/>
          <w:sz w:val="20"/>
        </w:rPr>
        <w:t>64.9  Reporting</w:t>
      </w:r>
      <w:proofErr w:type="gramEnd"/>
      <w:r w:rsidRPr="00144851">
        <w:rPr>
          <w:b/>
          <w:sz w:val="20"/>
        </w:rPr>
        <w:t xml:space="preserve"> And Recordkeeping Requirements</w:t>
      </w:r>
    </w:p>
    <w:p w:rsidR="008561AB" w:rsidRPr="00144851" w:rsidRDefault="008561AB" w:rsidP="002B31C6">
      <w:pPr>
        <w:numPr>
          <w:ilvl w:val="0"/>
          <w:numId w:val="16"/>
        </w:numPr>
        <w:spacing w:after="120"/>
        <w:rPr>
          <w:sz w:val="20"/>
        </w:rPr>
      </w:pPr>
      <w:r w:rsidRPr="00144851">
        <w:rPr>
          <w:sz w:val="20"/>
          <w:u w:val="single"/>
        </w:rPr>
        <w:t>General Reporting Requirements</w:t>
      </w:r>
      <w:r w:rsidRPr="00144851">
        <w:rPr>
          <w:sz w:val="20"/>
        </w:rPr>
        <w:t>:</w:t>
      </w:r>
    </w:p>
    <w:p w:rsidR="008561AB" w:rsidRPr="00144851" w:rsidRDefault="008561AB" w:rsidP="002B31C6">
      <w:pPr>
        <w:numPr>
          <w:ilvl w:val="0"/>
          <w:numId w:val="21"/>
        </w:numPr>
        <w:spacing w:after="120"/>
        <w:rPr>
          <w:sz w:val="20"/>
        </w:rPr>
      </w:pPr>
      <w:r w:rsidRPr="00144851">
        <w:rPr>
          <w:sz w:val="20"/>
        </w:rPr>
        <w:t>Commencing from the effective date of this permit, the owner or operator shall submit monitoring reports semi-annually to the permitting authority in accordance with Rule 62-213.440(1</w:t>
      </w:r>
      <w:proofErr w:type="gramStart"/>
      <w:r w:rsidRPr="00144851">
        <w:rPr>
          <w:sz w:val="20"/>
        </w:rPr>
        <w:t>)(</w:t>
      </w:r>
      <w:proofErr w:type="gramEnd"/>
      <w:r w:rsidRPr="00144851">
        <w:rPr>
          <w:sz w:val="20"/>
        </w:rPr>
        <w:t>b)3.a., F.A.C.</w:t>
      </w:r>
    </w:p>
    <w:p w:rsidR="008561AB" w:rsidRPr="00144851" w:rsidRDefault="008561AB" w:rsidP="002B31C6">
      <w:pPr>
        <w:numPr>
          <w:ilvl w:val="0"/>
          <w:numId w:val="21"/>
        </w:numPr>
        <w:spacing w:after="120"/>
        <w:rPr>
          <w:sz w:val="20"/>
        </w:rPr>
      </w:pPr>
      <w:r w:rsidRPr="00144851">
        <w:rPr>
          <w:sz w:val="20"/>
        </w:rPr>
        <w:lastRenderedPageBreak/>
        <w:t xml:space="preserve">A report for monitoring under this part shall include, at a minimum, the information required under Rule 62-213.440(1)(b)3.a., F.A.C., and the following information, as applicable: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of excursions or exceedances, as applicable, and the corrective actions taken;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for monitor downtime incidents (other than downtime associated with zero and span or other daily calibration checks, if applicable); and </w:t>
      </w:r>
    </w:p>
    <w:p w:rsidR="008561AB" w:rsidRPr="00144851" w:rsidRDefault="008561AB" w:rsidP="002B31C6">
      <w:pPr>
        <w:numPr>
          <w:ilvl w:val="1"/>
          <w:numId w:val="21"/>
        </w:numPr>
        <w:spacing w:after="120"/>
        <w:ind w:left="1080"/>
        <w:rPr>
          <w:sz w:val="20"/>
        </w:rPr>
      </w:pPr>
      <w:r w:rsidRPr="00144851">
        <w:rPr>
          <w:sz w:val="20"/>
        </w:rPr>
        <w:t xml:space="preserve">A description of the actions taken to implement a QIP during the reporting period.  Upon completion of a QIP, the owner or operator shall include in the next summary report documentation that the implementation of the plan has been completed and reduced the likelihood of similar levels of excursions or exceedances occurring. </w:t>
      </w:r>
    </w:p>
    <w:p w:rsidR="008561AB" w:rsidRPr="00144851" w:rsidRDefault="008561AB" w:rsidP="00BB084F">
      <w:pPr>
        <w:spacing w:after="120"/>
        <w:ind w:left="360"/>
        <w:rPr>
          <w:sz w:val="20"/>
        </w:rPr>
      </w:pPr>
      <w:r w:rsidRPr="00144851">
        <w:rPr>
          <w:sz w:val="20"/>
        </w:rPr>
        <w:t>[40 CFR 64.9(a)]</w:t>
      </w:r>
    </w:p>
    <w:p w:rsidR="008561AB" w:rsidRPr="00144851" w:rsidRDefault="008561AB" w:rsidP="002B31C6">
      <w:pPr>
        <w:numPr>
          <w:ilvl w:val="0"/>
          <w:numId w:val="16"/>
        </w:numPr>
        <w:spacing w:after="120"/>
        <w:rPr>
          <w:sz w:val="20"/>
        </w:rPr>
      </w:pPr>
      <w:r w:rsidRPr="00144851">
        <w:rPr>
          <w:sz w:val="20"/>
          <w:u w:val="single"/>
        </w:rPr>
        <w:t>General Recordkeeping Requirements</w:t>
      </w:r>
      <w:r w:rsidRPr="00144851">
        <w:rPr>
          <w:sz w:val="20"/>
        </w:rPr>
        <w:t>:</w:t>
      </w:r>
    </w:p>
    <w:p w:rsidR="008561AB" w:rsidRPr="00144851" w:rsidRDefault="008561AB" w:rsidP="002B31C6">
      <w:pPr>
        <w:numPr>
          <w:ilvl w:val="0"/>
          <w:numId w:val="22"/>
        </w:numPr>
        <w:spacing w:after="120"/>
        <w:rPr>
          <w:sz w:val="20"/>
        </w:rPr>
      </w:pPr>
      <w:r w:rsidRPr="00144851">
        <w:rPr>
          <w:sz w:val="20"/>
        </w:rPr>
        <w:t>The owner or operator shall comply with the recordkeeping requirements specified in Rule 62-213.440(1</w:t>
      </w:r>
      <w:proofErr w:type="gramStart"/>
      <w:r w:rsidRPr="00144851">
        <w:rPr>
          <w:sz w:val="20"/>
        </w:rPr>
        <w:t>)(</w:t>
      </w:r>
      <w:proofErr w:type="gramEnd"/>
      <w:r w:rsidRPr="00144851">
        <w:rPr>
          <w:sz w:val="20"/>
        </w:rPr>
        <w:t xml:space="preserve">b)2., F.A.C.  The owner or operator shall maintain records of monitoring data, monitor performance data, corrective actions taken, any written quality improvement plan required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8561AB" w:rsidRPr="00144851" w:rsidRDefault="008561AB" w:rsidP="002B31C6">
      <w:pPr>
        <w:numPr>
          <w:ilvl w:val="0"/>
          <w:numId w:val="22"/>
        </w:numPr>
        <w:spacing w:after="120"/>
        <w:rPr>
          <w:sz w:val="20"/>
        </w:rPr>
      </w:pPr>
      <w:r w:rsidRPr="00144851">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8561AB" w:rsidRPr="00144851" w:rsidRDefault="008561AB" w:rsidP="00BB084F">
      <w:pPr>
        <w:spacing w:after="120"/>
        <w:ind w:left="360"/>
        <w:rPr>
          <w:sz w:val="20"/>
        </w:rPr>
      </w:pPr>
      <w:r w:rsidRPr="00144851">
        <w:rPr>
          <w:sz w:val="20"/>
        </w:rPr>
        <w:t>[40 CFR 64.9(b)]</w:t>
      </w:r>
    </w:p>
    <w:p w:rsidR="008561AB" w:rsidRPr="00144851" w:rsidRDefault="008561AB" w:rsidP="008561AB">
      <w:pPr>
        <w:spacing w:after="120"/>
        <w:rPr>
          <w:b/>
          <w:sz w:val="20"/>
        </w:rPr>
      </w:pPr>
      <w:r w:rsidRPr="00144851">
        <w:rPr>
          <w:b/>
          <w:sz w:val="20"/>
        </w:rPr>
        <w:t xml:space="preserve">40 CFR </w:t>
      </w:r>
      <w:proofErr w:type="gramStart"/>
      <w:r w:rsidRPr="00144851">
        <w:rPr>
          <w:b/>
          <w:sz w:val="20"/>
        </w:rPr>
        <w:t>64.10  Savings</w:t>
      </w:r>
      <w:proofErr w:type="gramEnd"/>
      <w:r w:rsidRPr="00144851">
        <w:rPr>
          <w:b/>
          <w:sz w:val="20"/>
        </w:rPr>
        <w:t xml:space="preserve"> Provisions</w:t>
      </w:r>
    </w:p>
    <w:p w:rsidR="008561AB" w:rsidRPr="00144851" w:rsidRDefault="008561AB" w:rsidP="002B31C6">
      <w:pPr>
        <w:numPr>
          <w:ilvl w:val="0"/>
          <w:numId w:val="16"/>
        </w:numPr>
        <w:spacing w:after="120"/>
        <w:rPr>
          <w:sz w:val="20"/>
        </w:rPr>
      </w:pPr>
      <w:r w:rsidRPr="00144851">
        <w:rPr>
          <w:sz w:val="20"/>
          <w:u w:val="single"/>
        </w:rPr>
        <w:t>Savings Provisions</w:t>
      </w:r>
      <w:r w:rsidRPr="00144851">
        <w:rPr>
          <w:sz w:val="20"/>
        </w:rPr>
        <w:t xml:space="preserve">:  It should be noted that nothing in this appendix shall: </w:t>
      </w:r>
    </w:p>
    <w:p w:rsidR="008561AB" w:rsidRPr="00144851" w:rsidRDefault="008561AB" w:rsidP="002B31C6">
      <w:pPr>
        <w:numPr>
          <w:ilvl w:val="0"/>
          <w:numId w:val="23"/>
        </w:numPr>
        <w:spacing w:after="120"/>
        <w:rPr>
          <w:sz w:val="20"/>
        </w:rPr>
      </w:pPr>
      <w:r w:rsidRPr="00144851">
        <w:rPr>
          <w:sz w:val="20"/>
        </w:rPr>
        <w:t>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w:t>
      </w:r>
    </w:p>
    <w:p w:rsidR="008561AB" w:rsidRPr="00144851" w:rsidRDefault="008561AB" w:rsidP="002B31C6">
      <w:pPr>
        <w:numPr>
          <w:ilvl w:val="0"/>
          <w:numId w:val="23"/>
        </w:numPr>
        <w:spacing w:after="120"/>
        <w:rPr>
          <w:sz w:val="20"/>
        </w:rPr>
      </w:pPr>
      <w:r w:rsidRPr="00144851">
        <w:rPr>
          <w:sz w:val="20"/>
        </w:rPr>
        <w:t>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w:t>
      </w:r>
    </w:p>
    <w:p w:rsidR="008561AB" w:rsidRPr="00144851" w:rsidRDefault="008561AB" w:rsidP="002B31C6">
      <w:pPr>
        <w:numPr>
          <w:ilvl w:val="0"/>
          <w:numId w:val="23"/>
        </w:numPr>
        <w:spacing w:after="120"/>
        <w:rPr>
          <w:sz w:val="20"/>
        </w:rPr>
      </w:pPr>
      <w:r w:rsidRPr="00144851">
        <w:rPr>
          <w:sz w:val="20"/>
        </w:rPr>
        <w:t xml:space="preserve">Restrict or abrogate the authority of the Administrator or permitting authority to take any enforcement action under the Act for any violation of an applicable requirement or of any person to take action under section 304 of the Act. </w:t>
      </w:r>
    </w:p>
    <w:p w:rsidR="00BD74B1" w:rsidRPr="00144851" w:rsidRDefault="008561AB" w:rsidP="000950DA">
      <w:pPr>
        <w:spacing w:after="120"/>
        <w:ind w:left="360"/>
        <w:rPr>
          <w:sz w:val="20"/>
        </w:rPr>
      </w:pPr>
      <w:r w:rsidRPr="00144851">
        <w:rPr>
          <w:sz w:val="20"/>
        </w:rPr>
        <w:t>[40 CFR 64.10]</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18"/>
          <w:headerReference w:type="default" r:id="rId19"/>
          <w:footerReference w:type="default" r:id="rId20"/>
          <w:headerReference w:type="first" r:id="rId21"/>
          <w:pgSz w:w="12240" w:h="15840" w:code="1"/>
          <w:pgMar w:top="720" w:right="1008" w:bottom="720" w:left="1008" w:header="720" w:footer="576" w:gutter="0"/>
          <w:paperSrc w:first="7" w:other="7"/>
          <w:pgNumType w:start="1"/>
          <w:cols w:space="720"/>
        </w:sectPr>
      </w:pP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lastRenderedPageBreak/>
        <w:t>The following conditions specify the applicable requirements for sampling and analyzing the authorized fuels at these facilities.  These are enforceable conditions of the permit.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Bagasse</w:t>
      </w: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t xml:space="preserve">Bagasse is fired in the boilers to provide process steam and heat for the </w:t>
      </w:r>
      <w:r w:rsidR="00597A40" w:rsidRPr="00144851">
        <w:rPr>
          <w:sz w:val="20"/>
        </w:rPr>
        <w:t xml:space="preserve">sugar </w:t>
      </w:r>
      <w:r w:rsidRPr="00144851">
        <w:rPr>
          <w:sz w:val="20"/>
        </w:rPr>
        <w:t xml:space="preserve">mill and refinery.  Bagasse is the fibrous byproduct remaining from sugarcane after the juice is extracted in the milling process.  Typically, </w:t>
      </w:r>
      <w:r w:rsidR="00042D79" w:rsidRPr="00144851">
        <w:rPr>
          <w:sz w:val="20"/>
        </w:rPr>
        <w:t xml:space="preserve">the </w:t>
      </w:r>
      <w:r w:rsidRPr="00144851">
        <w:rPr>
          <w:sz w:val="20"/>
        </w:rPr>
        <w:t xml:space="preserve">bagasse has a moisture content of </w:t>
      </w:r>
      <w:r w:rsidR="00CF4956" w:rsidRPr="00144851">
        <w:rPr>
          <w:sz w:val="20"/>
        </w:rPr>
        <w:t xml:space="preserve">49% to </w:t>
      </w:r>
      <w:r w:rsidRPr="00144851">
        <w:rPr>
          <w:sz w:val="20"/>
        </w:rPr>
        <w:t xml:space="preserve">55% by weight, a </w:t>
      </w:r>
      <w:r w:rsidR="00597A40" w:rsidRPr="00144851">
        <w:rPr>
          <w:sz w:val="20"/>
        </w:rPr>
        <w:t xml:space="preserve">maximum </w:t>
      </w:r>
      <w:r w:rsidRPr="00144851">
        <w:rPr>
          <w:sz w:val="20"/>
        </w:rPr>
        <w:t>sulfur content of 0.</w:t>
      </w:r>
      <w:r w:rsidR="00CF4956" w:rsidRPr="00144851">
        <w:rPr>
          <w:sz w:val="20"/>
        </w:rPr>
        <w:t>0</w:t>
      </w:r>
      <w:r w:rsidR="00DA5757" w:rsidRPr="00144851">
        <w:rPr>
          <w:sz w:val="20"/>
        </w:rPr>
        <w:t>3</w:t>
      </w:r>
      <w:r w:rsidR="00CF4956" w:rsidRPr="00144851">
        <w:rPr>
          <w:sz w:val="20"/>
        </w:rPr>
        <w:t>% to 0.</w:t>
      </w:r>
      <w:r w:rsidR="00DA5757" w:rsidRPr="00144851">
        <w:rPr>
          <w:sz w:val="20"/>
        </w:rPr>
        <w:t>07</w:t>
      </w:r>
      <w:r w:rsidRPr="00144851">
        <w:rPr>
          <w:sz w:val="20"/>
        </w:rPr>
        <w:t xml:space="preserve">% by weight and a heating value of approximately 3600 Btu per pound of wet bagasse.  Bagasse is stored </w:t>
      </w:r>
      <w:r w:rsidR="00597A40" w:rsidRPr="00144851">
        <w:rPr>
          <w:sz w:val="20"/>
        </w:rPr>
        <w:t xml:space="preserve">on site </w:t>
      </w:r>
      <w:r w:rsidRPr="00144851">
        <w:rPr>
          <w:sz w:val="20"/>
        </w:rPr>
        <w:t>in large, un</w:t>
      </w:r>
      <w:r w:rsidR="00597A40" w:rsidRPr="00144851">
        <w:rPr>
          <w:sz w:val="20"/>
        </w:rPr>
        <w:t>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 Sampling and Analysis</w:t>
      </w:r>
      <w:r w:rsidRPr="00144851">
        <w:rPr>
          <w:sz w:val="20"/>
        </w:rPr>
        <w:t xml:space="preserve">:  A representative sample of bagasse shall be taken during each calendar quarter </w:t>
      </w:r>
      <w:r w:rsidR="00AF3D0D" w:rsidRPr="00144851">
        <w:rPr>
          <w:sz w:val="20"/>
        </w:rPr>
        <w:t xml:space="preserve">bagasse is fired </w:t>
      </w:r>
      <w:r w:rsidRPr="00144851">
        <w:rPr>
          <w:sz w:val="20"/>
        </w:rPr>
        <w:t xml:space="preserve">and analyzed for the following:  heating value (Btu/lb, as fired and dry); moisture content (percent by weight); sulfur content (percent by weight, </w:t>
      </w:r>
      <w:r w:rsidR="00597A40" w:rsidRPr="00144851">
        <w:rPr>
          <w:sz w:val="20"/>
        </w:rPr>
        <w:t>as fired and dry</w:t>
      </w:r>
      <w:r w:rsidRPr="00144851">
        <w:rPr>
          <w:sz w:val="20"/>
        </w:rPr>
        <w:t xml:space="preserve">); and ash content (percent by weight, </w:t>
      </w:r>
      <w:r w:rsidR="00597A40" w:rsidRPr="00144851">
        <w:rPr>
          <w:sz w:val="20"/>
        </w:rPr>
        <w:t>as fired and dry</w:t>
      </w:r>
      <w:r w:rsidRPr="00144851">
        <w:rPr>
          <w:sz w:val="20"/>
        </w:rPr>
        <w:t xml:space="preserve">).  </w:t>
      </w:r>
      <w:r w:rsidR="00AF3D0D" w:rsidRPr="00144851">
        <w:rPr>
          <w:sz w:val="20"/>
        </w:rPr>
        <w:t xml:space="preserve">If no bagasse was fired during a quarter, the report shall indicate that no bagasse was fired as boiler fuel during the given quarter.  </w:t>
      </w:r>
      <w:r w:rsidRPr="00144851">
        <w:rPr>
          <w:sz w:val="20"/>
        </w:rPr>
        <w:t>Records of the results of these analyses shall be maintained on site and made available upon request.</w:t>
      </w:r>
      <w:r w:rsidR="00AF3D0D" w:rsidRPr="00144851">
        <w:rPr>
          <w:sz w:val="20"/>
        </w:rPr>
        <w:t xml:space="preserve">  </w:t>
      </w:r>
      <w:r w:rsidRPr="00144851">
        <w:rPr>
          <w:sz w:val="20"/>
        </w:rPr>
        <w:t>[Permit No. PSD-FL-333</w:t>
      </w:r>
      <w:r w:rsidR="009F70BF" w:rsidRPr="00144851">
        <w:rPr>
          <w:sz w:val="20"/>
        </w:rPr>
        <w:t>C</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Firing Records</w:t>
      </w:r>
      <w:r w:rsidRPr="00144851">
        <w:rPr>
          <w:sz w:val="20"/>
        </w:rPr>
        <w:t xml:space="preserve">:  For the Annual Operating Report, the permittee shall calculate </w:t>
      </w:r>
      <w:r w:rsidR="009F70BF" w:rsidRPr="00144851">
        <w:rPr>
          <w:sz w:val="20"/>
        </w:rPr>
        <w:t xml:space="preserve">and record </w:t>
      </w:r>
      <w:r w:rsidRPr="00144851">
        <w:rPr>
          <w:sz w:val="20"/>
        </w:rPr>
        <w:t xml:space="preserve">the annual bagasse firing rate.  [Rules 62-4.070(3) and </w:t>
      </w:r>
      <w:r w:rsidRPr="00144851">
        <w:rPr>
          <w:color w:val="000000"/>
          <w:sz w:val="20"/>
        </w:rPr>
        <w:t>62-213.440(1</w:t>
      </w:r>
      <w:proofErr w:type="gramStart"/>
      <w:r w:rsidRPr="00144851">
        <w:rPr>
          <w:color w:val="000000"/>
          <w:sz w:val="20"/>
        </w:rPr>
        <w:t>)(</w:t>
      </w:r>
      <w:proofErr w:type="gramEnd"/>
      <w:r w:rsidRPr="00144851">
        <w:rPr>
          <w:color w:val="000000"/>
          <w:sz w:val="20"/>
        </w:rPr>
        <w:t>b)1.b, F.A.C.</w:t>
      </w:r>
      <w:r w:rsidRPr="00144851">
        <w:rPr>
          <w:sz w:val="20"/>
        </w:rPr>
        <w: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Wood chips</w:t>
      </w:r>
    </w:p>
    <w:p w:rsidR="00E07E38" w:rsidRPr="00144851" w:rsidRDefault="00AF3D0D" w:rsidP="00597A40">
      <w:pPr>
        <w:widowControl w:val="0"/>
        <w:tabs>
          <w:tab w:val="left" w:pos="720"/>
          <w:tab w:val="left" w:pos="900"/>
          <w:tab w:val="left" w:pos="1296"/>
          <w:tab w:val="left" w:pos="4896"/>
          <w:tab w:val="right" w:pos="9360"/>
        </w:tabs>
        <w:spacing w:after="120"/>
        <w:rPr>
          <w:sz w:val="20"/>
        </w:rPr>
      </w:pPr>
      <w:r w:rsidRPr="00144851">
        <w:rPr>
          <w:sz w:val="20"/>
        </w:rPr>
        <w:t xml:space="preserve">Boilers 7 and 8 are </w:t>
      </w:r>
      <w:r w:rsidR="00E07E38" w:rsidRPr="00144851">
        <w:rPr>
          <w:sz w:val="20"/>
        </w:rPr>
        <w:t xml:space="preserve">authorized to fire wood chips as an </w:t>
      </w:r>
      <w:r w:rsidRPr="00144851">
        <w:rPr>
          <w:sz w:val="20"/>
        </w:rPr>
        <w:t>auxiliary fuel to</w:t>
      </w:r>
      <w:r w:rsidR="00E07E38" w:rsidRPr="00144851">
        <w:rPr>
          <w:sz w:val="20"/>
        </w:rPr>
        <w:t xml:space="preserve"> supplement</w:t>
      </w:r>
      <w:r w:rsidRPr="00144851">
        <w:rPr>
          <w:sz w:val="20"/>
        </w:rPr>
        <w:t xml:space="preserve"> bagasse</w:t>
      </w:r>
      <w:r w:rsidR="00E07E38" w:rsidRPr="00144851">
        <w:rPr>
          <w:sz w:val="20"/>
        </w:rPr>
        <w:t xml:space="preserve">.  In general, wood chips would be commingled and fired with bagasse to extend bagasse through the refinery season.  Typically, </w:t>
      </w:r>
      <w:r w:rsidR="00042D79" w:rsidRPr="00144851">
        <w:rPr>
          <w:sz w:val="20"/>
        </w:rPr>
        <w:t xml:space="preserve">the </w:t>
      </w:r>
      <w:r w:rsidR="00E07E38" w:rsidRPr="00144851">
        <w:rPr>
          <w:sz w:val="20"/>
        </w:rPr>
        <w:t>wood chips have a moisture content of 3</w:t>
      </w:r>
      <w:r w:rsidR="00DA5757" w:rsidRPr="00144851">
        <w:rPr>
          <w:sz w:val="20"/>
        </w:rPr>
        <w:t>8</w:t>
      </w:r>
      <w:r w:rsidR="00E07E38" w:rsidRPr="00144851">
        <w:rPr>
          <w:sz w:val="20"/>
        </w:rPr>
        <w:t xml:space="preserve">% to </w:t>
      </w:r>
      <w:r w:rsidR="00042D79" w:rsidRPr="00144851">
        <w:rPr>
          <w:sz w:val="20"/>
        </w:rPr>
        <w:t>40</w:t>
      </w:r>
      <w:r w:rsidR="00E07E38" w:rsidRPr="00144851">
        <w:rPr>
          <w:sz w:val="20"/>
        </w:rPr>
        <w:t xml:space="preserve">%, a </w:t>
      </w:r>
      <w:r w:rsidR="009F70BF" w:rsidRPr="00144851">
        <w:rPr>
          <w:sz w:val="20"/>
        </w:rPr>
        <w:t xml:space="preserve">maximum </w:t>
      </w:r>
      <w:r w:rsidR="00E07E38" w:rsidRPr="00144851">
        <w:rPr>
          <w:sz w:val="20"/>
        </w:rPr>
        <w:t xml:space="preserve">sulfur content of </w:t>
      </w:r>
      <w:r w:rsidR="00DA5757" w:rsidRPr="00144851">
        <w:rPr>
          <w:sz w:val="20"/>
        </w:rPr>
        <w:t>0.05</w:t>
      </w:r>
      <w:r w:rsidR="00E07E38" w:rsidRPr="00144851">
        <w:rPr>
          <w:sz w:val="20"/>
        </w:rPr>
        <w:t>% by weight, and a heating value of approximately 4</w:t>
      </w:r>
      <w:r w:rsidR="000031BD" w:rsidRPr="00144851">
        <w:rPr>
          <w:sz w:val="20"/>
        </w:rPr>
        <w:t>07</w:t>
      </w:r>
      <w:r w:rsidR="00E07E38" w:rsidRPr="00144851">
        <w:rPr>
          <w:sz w:val="20"/>
        </w:rPr>
        <w:t xml:space="preserve">0 Btu per pounds of wet wood.  Wood chips are </w:t>
      </w:r>
      <w:r w:rsidR="009F70BF" w:rsidRPr="00144851">
        <w:rPr>
          <w:sz w:val="20"/>
        </w:rPr>
        <w:t xml:space="preserve">generally </w:t>
      </w:r>
      <w:r w:rsidR="00E07E38" w:rsidRPr="00144851">
        <w:rPr>
          <w:sz w:val="20"/>
        </w:rPr>
        <w:t xml:space="preserve">sized to 3” or less and stored </w:t>
      </w:r>
      <w:r w:rsidR="009F70BF" w:rsidRPr="00144851">
        <w:rPr>
          <w:sz w:val="20"/>
        </w:rPr>
        <w:t>in large, uncovered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 Sampling and Analysis</w:t>
      </w:r>
      <w:r w:rsidRPr="00144851">
        <w:rPr>
          <w:sz w:val="20"/>
        </w:rPr>
        <w:t xml:space="preserve">:  </w:t>
      </w:r>
      <w:r w:rsidR="00AF3D0D" w:rsidRPr="00144851">
        <w:rPr>
          <w:sz w:val="20"/>
        </w:rPr>
        <w:t>A representative sample of wood chips shall be taken during each calendar quarter wood chips are fired and a</w:t>
      </w:r>
      <w:r w:rsidRPr="00144851">
        <w:rPr>
          <w:sz w:val="20"/>
        </w:rPr>
        <w:t xml:space="preserve">nalyzed for the following:  heating value (Btu/lb, as fired and dry); moisture content (percent by weight); sulfur content (percent by weight, </w:t>
      </w:r>
      <w:r w:rsidR="009F70BF" w:rsidRPr="00144851">
        <w:rPr>
          <w:sz w:val="20"/>
        </w:rPr>
        <w:t>as fired and dry</w:t>
      </w:r>
      <w:r w:rsidRPr="00144851">
        <w:rPr>
          <w:sz w:val="20"/>
        </w:rPr>
        <w:t xml:space="preserve">); and ash content (percent by weight, </w:t>
      </w:r>
      <w:r w:rsidR="009F70BF" w:rsidRPr="00144851">
        <w:rPr>
          <w:sz w:val="20"/>
        </w:rPr>
        <w:t>as fired and dry</w:t>
      </w:r>
      <w:r w:rsidRPr="00144851">
        <w:rPr>
          <w:sz w:val="20"/>
        </w:rPr>
        <w:t>).  Records of the results of these analyses shall be maintained on site and made available upon request.  If</w:t>
      </w:r>
      <w:r w:rsidR="009F70BF" w:rsidRPr="00144851">
        <w:rPr>
          <w:sz w:val="20"/>
        </w:rPr>
        <w:t xml:space="preserve"> no wood chips </w:t>
      </w:r>
      <w:r w:rsidR="00AF3D0D" w:rsidRPr="00144851">
        <w:rPr>
          <w:sz w:val="20"/>
        </w:rPr>
        <w:t>were</w:t>
      </w:r>
      <w:r w:rsidR="009F70BF" w:rsidRPr="00144851">
        <w:rPr>
          <w:sz w:val="20"/>
        </w:rPr>
        <w:t xml:space="preserve"> </w:t>
      </w:r>
      <w:r w:rsidR="00AF3D0D" w:rsidRPr="00144851">
        <w:rPr>
          <w:sz w:val="20"/>
        </w:rPr>
        <w:t xml:space="preserve">fired </w:t>
      </w:r>
      <w:r w:rsidR="009F70BF" w:rsidRPr="00144851">
        <w:rPr>
          <w:sz w:val="20"/>
        </w:rPr>
        <w:t>during a quarter</w:t>
      </w:r>
      <w:r w:rsidRPr="00144851">
        <w:rPr>
          <w:sz w:val="20"/>
        </w:rPr>
        <w:t xml:space="preserve">, </w:t>
      </w:r>
      <w:r w:rsidR="009F70BF" w:rsidRPr="00144851">
        <w:rPr>
          <w:sz w:val="20"/>
        </w:rPr>
        <w:t xml:space="preserve">the </w:t>
      </w:r>
      <w:r w:rsidRPr="00144851">
        <w:rPr>
          <w:sz w:val="20"/>
        </w:rPr>
        <w:t>report shall indicat</w:t>
      </w:r>
      <w:r w:rsidR="009F70BF" w:rsidRPr="00144851">
        <w:rPr>
          <w:sz w:val="20"/>
        </w:rPr>
        <w:t xml:space="preserve">e </w:t>
      </w:r>
      <w:r w:rsidRPr="00144851">
        <w:rPr>
          <w:sz w:val="20"/>
        </w:rPr>
        <w:t xml:space="preserve">that no wood chips were </w:t>
      </w:r>
      <w:r w:rsidR="00AF3D0D" w:rsidRPr="00144851">
        <w:rPr>
          <w:sz w:val="20"/>
        </w:rPr>
        <w:t xml:space="preserve">fired </w:t>
      </w:r>
      <w:r w:rsidRPr="00144851">
        <w:rPr>
          <w:sz w:val="20"/>
        </w:rPr>
        <w:t xml:space="preserve">as boiler fuel during the </w:t>
      </w:r>
      <w:r w:rsidR="009F70BF" w:rsidRPr="00144851">
        <w:rPr>
          <w:sz w:val="20"/>
        </w:rPr>
        <w:t xml:space="preserve">given </w:t>
      </w:r>
      <w:r w:rsidRPr="00144851">
        <w:rPr>
          <w:sz w:val="20"/>
        </w:rPr>
        <w:t>quarter.</w:t>
      </w:r>
      <w:r w:rsidR="00144A6C" w:rsidRPr="00144851">
        <w:rPr>
          <w:sz w:val="20"/>
        </w:rPr>
        <w:t xml:space="preserve">  </w:t>
      </w:r>
      <w:r w:rsidR="00144A6C" w:rsidRPr="00144851">
        <w:rPr>
          <w:szCs w:val="22"/>
        </w:rPr>
        <w:t xml:space="preserve">Analytical results shall be determined and available for review within 30 days of the end of each calendar quarter.  </w:t>
      </w:r>
      <w:r w:rsidRPr="00144851">
        <w:rPr>
          <w:sz w:val="20"/>
        </w:rPr>
        <w:t>[Permit</w:t>
      </w:r>
      <w:r w:rsidR="00144A6C" w:rsidRPr="00144851">
        <w:rPr>
          <w:sz w:val="20"/>
        </w:rPr>
        <w:t>s</w:t>
      </w:r>
      <w:r w:rsidRPr="00144851">
        <w:rPr>
          <w:sz w:val="20"/>
        </w:rPr>
        <w:t xml:space="preserve"> PSD-FL-333</w:t>
      </w:r>
      <w:r w:rsidR="009F70BF" w:rsidRPr="00144851">
        <w:rPr>
          <w:sz w:val="20"/>
        </w:rPr>
        <w:t>C</w:t>
      </w:r>
      <w:r w:rsidR="00144A6C" w:rsidRPr="00144851">
        <w:rPr>
          <w:sz w:val="20"/>
        </w:rPr>
        <w:t xml:space="preserve"> and PSD-FL-389</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Firing Records</w:t>
      </w:r>
      <w:r w:rsidRPr="00144851">
        <w:rPr>
          <w:sz w:val="20"/>
        </w:rPr>
        <w:t xml:space="preserve">:  For each delivery of wood chips to the storage area, the permittee shall log the amount of wood chips delivered.  For the Annual Operating Report, the permittee shall calculate the annual wood chips firing rate based on the difference between the total wood chips delivered and the amount of wood chips remaining.  The total annual heat input rate from firing wood chips shall be calculated based on the annual firing rate and the measured heating values as determined from the sampling and analyses conducted throughout the year.  [Rules 62-4.070(3) and </w:t>
      </w:r>
      <w:r w:rsidRPr="00144851">
        <w:rPr>
          <w:color w:val="000000"/>
          <w:sz w:val="20"/>
        </w:rPr>
        <w:t>62-213.440(1</w:t>
      </w:r>
      <w:proofErr w:type="gramStart"/>
      <w:r w:rsidRPr="00144851">
        <w:rPr>
          <w:color w:val="000000"/>
          <w:sz w:val="20"/>
        </w:rPr>
        <w:t>)(</w:t>
      </w:r>
      <w:proofErr w:type="gramEnd"/>
      <w:r w:rsidRPr="00144851">
        <w:rPr>
          <w:color w:val="000000"/>
          <w:sz w:val="20"/>
        </w:rPr>
        <w:t>b)1.b, F.A.C.</w:t>
      </w:r>
      <w:r w:rsidRPr="00144851">
        <w:rPr>
          <w:sz w:val="20"/>
        </w:rPr>
        <w:t>]</w:t>
      </w:r>
    </w:p>
    <w:p w:rsidR="00E07E38" w:rsidRPr="00144851" w:rsidRDefault="00E07E38" w:rsidP="00597A40">
      <w:pPr>
        <w:widowControl w:val="0"/>
        <w:spacing w:before="120" w:after="120"/>
        <w:rPr>
          <w:b/>
          <w:caps/>
          <w:sz w:val="20"/>
        </w:rPr>
      </w:pPr>
      <w:r w:rsidRPr="00144851">
        <w:rPr>
          <w:b/>
          <w:caps/>
          <w:sz w:val="20"/>
        </w:rPr>
        <w:t>Distillate Oil</w:t>
      </w:r>
    </w:p>
    <w:p w:rsidR="00E07E38" w:rsidRPr="00144851" w:rsidRDefault="00D36EFA" w:rsidP="00597A40">
      <w:pPr>
        <w:widowControl w:val="0"/>
        <w:spacing w:after="120"/>
        <w:rPr>
          <w:color w:val="000000"/>
          <w:sz w:val="20"/>
        </w:rPr>
      </w:pPr>
      <w:r w:rsidRPr="00144851">
        <w:rPr>
          <w:color w:val="000000"/>
          <w:sz w:val="20"/>
        </w:rPr>
        <w:t>C</w:t>
      </w:r>
      <w:r w:rsidR="00E07E38" w:rsidRPr="00144851">
        <w:rPr>
          <w:color w:val="000000"/>
          <w:sz w:val="20"/>
        </w:rPr>
        <w:t xml:space="preserve">ombustion </w:t>
      </w:r>
      <w:r w:rsidRPr="00144851">
        <w:rPr>
          <w:color w:val="000000"/>
          <w:sz w:val="20"/>
        </w:rPr>
        <w:t>units</w:t>
      </w:r>
      <w:r w:rsidR="00E07E38" w:rsidRPr="00144851">
        <w:rPr>
          <w:color w:val="000000"/>
          <w:sz w:val="20"/>
        </w:rPr>
        <w:t xml:space="preserve"> at these facilities include </w:t>
      </w:r>
      <w:r w:rsidR="00DA21EA" w:rsidRPr="00144851">
        <w:rPr>
          <w:color w:val="000000"/>
          <w:sz w:val="20"/>
        </w:rPr>
        <w:t xml:space="preserve">the mill </w:t>
      </w:r>
      <w:r w:rsidR="00E07E38" w:rsidRPr="00144851">
        <w:rPr>
          <w:color w:val="000000"/>
          <w:sz w:val="20"/>
        </w:rPr>
        <w:t xml:space="preserve">boilers, </w:t>
      </w:r>
      <w:r w:rsidR="00DA21EA" w:rsidRPr="00144851">
        <w:rPr>
          <w:color w:val="000000"/>
          <w:sz w:val="20"/>
        </w:rPr>
        <w:t xml:space="preserve">the rental refinery boiler </w:t>
      </w:r>
      <w:r w:rsidR="00E07E38" w:rsidRPr="00144851">
        <w:rPr>
          <w:color w:val="000000"/>
          <w:sz w:val="20"/>
        </w:rPr>
        <w:t>and the afterburner for the granular carbon regenerative furnace</w:t>
      </w:r>
      <w:r w:rsidRPr="00144851">
        <w:rPr>
          <w:color w:val="000000"/>
          <w:sz w:val="20"/>
        </w:rPr>
        <w:t>.</w:t>
      </w:r>
      <w:r w:rsidR="00E07E38" w:rsidRPr="00144851">
        <w:rPr>
          <w:color w:val="000000"/>
          <w:sz w:val="20"/>
        </w:rPr>
        <w:t xml:space="preserve">  </w:t>
      </w:r>
      <w:r w:rsidR="002D11AB" w:rsidRPr="00144851">
        <w:rPr>
          <w:color w:val="000000"/>
          <w:sz w:val="20"/>
        </w:rPr>
        <w:t xml:space="preserve">Permitted units may only </w:t>
      </w:r>
      <w:r w:rsidR="00ED1385" w:rsidRPr="00144851">
        <w:rPr>
          <w:color w:val="000000"/>
          <w:sz w:val="20"/>
        </w:rPr>
        <w:t>fire</w:t>
      </w:r>
      <w:r w:rsidR="002D11AB" w:rsidRPr="00144851">
        <w:rPr>
          <w:color w:val="000000"/>
          <w:sz w:val="20"/>
        </w:rPr>
        <w:t xml:space="preserve"> distillate oil with a </w:t>
      </w:r>
      <w:r w:rsidR="00E07E38" w:rsidRPr="00144851">
        <w:rPr>
          <w:color w:val="000000"/>
          <w:sz w:val="20"/>
        </w:rPr>
        <w:t xml:space="preserve">maximum sulfur content </w:t>
      </w:r>
      <w:r w:rsidR="002D11AB" w:rsidRPr="00144851">
        <w:rPr>
          <w:color w:val="000000"/>
          <w:sz w:val="20"/>
        </w:rPr>
        <w:t>of 0.05% by weight.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t xml:space="preserve">Distillate </w:t>
      </w:r>
      <w:r w:rsidR="00E07E38" w:rsidRPr="00144851">
        <w:rPr>
          <w:color w:val="000000"/>
          <w:sz w:val="20"/>
          <w:u w:val="single"/>
        </w:rPr>
        <w:t>Oil Sampling and Analyses</w:t>
      </w:r>
      <w:r w:rsidR="00E07E38" w:rsidRPr="00144851">
        <w:rPr>
          <w:color w:val="000000"/>
          <w:sz w:val="20"/>
        </w:rPr>
        <w: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For each oil delivery, the permittee shall </w:t>
      </w:r>
      <w:r w:rsidR="002D11AB" w:rsidRPr="00144851">
        <w:rPr>
          <w:sz w:val="20"/>
        </w:rPr>
        <w:t xml:space="preserve">maintain </w:t>
      </w:r>
      <w:r w:rsidRPr="00144851">
        <w:rPr>
          <w:sz w:val="20"/>
        </w:rPr>
        <w:t>record</w:t>
      </w:r>
      <w:r w:rsidR="002D11AB" w:rsidRPr="00144851">
        <w:rPr>
          <w:sz w:val="20"/>
        </w:rPr>
        <w:t>s</w:t>
      </w:r>
      <w:r w:rsidRPr="00144851">
        <w:rPr>
          <w:sz w:val="20"/>
        </w:rPr>
        <w:t xml:space="preserve"> </w:t>
      </w:r>
      <w:r w:rsidR="002D11AB" w:rsidRPr="00144851">
        <w:rPr>
          <w:sz w:val="20"/>
        </w:rPr>
        <w:t xml:space="preserve">of:  </w:t>
      </w:r>
      <w:r w:rsidRPr="00144851">
        <w:rPr>
          <w:sz w:val="20"/>
        </w:rPr>
        <w:t>the date, the gallons delivered, and a certified fuel oil analysis from the vendor including the heating value (Btu/lb), density (pounds/gallon)</w:t>
      </w:r>
      <w:r w:rsidR="002D11AB" w:rsidRPr="00144851">
        <w:rPr>
          <w:sz w:val="20"/>
        </w:rPr>
        <w:t xml:space="preserve"> and</w:t>
      </w:r>
      <w:r w:rsidRPr="00144851">
        <w:rPr>
          <w:sz w:val="20"/>
        </w:rPr>
        <w:t xml:space="preserve"> sulfur content (percent by weight).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The following methods are approved analytical methods for determining these characteristics:  ASTM Method D-129, ASTM D-1552, ASTM D-2622, and ASTM D-4294.  Other equivalent ASTM methods or Department-approved methods are also acceptable.</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At least once during each federal fiscal year, the permittee shall have a representative sample taken from each oil storage tank and analyzed in accordance with the authorized methods.  </w:t>
      </w:r>
      <w:r w:rsidR="00A94F79" w:rsidRPr="00144851">
        <w:rPr>
          <w:sz w:val="20"/>
        </w:rPr>
        <w:t>Results of the analysis shall be submitted to the Compliance Authority within 45 days of sampling.</w:t>
      </w:r>
    </w:p>
    <w:p w:rsidR="00E07E38" w:rsidRPr="00144851" w:rsidRDefault="00E07E38" w:rsidP="00597A40">
      <w:pPr>
        <w:widowControl w:val="0"/>
        <w:spacing w:after="120"/>
        <w:ind w:left="360"/>
        <w:rPr>
          <w:sz w:val="20"/>
        </w:rPr>
      </w:pPr>
      <w:r w:rsidRPr="00144851">
        <w:rPr>
          <w:sz w:val="20"/>
        </w:rPr>
        <w:t>[Rule</w:t>
      </w:r>
      <w:r w:rsidR="00ED5C2A" w:rsidRPr="00144851">
        <w:rPr>
          <w:sz w:val="20"/>
        </w:rPr>
        <w:t>s</w:t>
      </w:r>
      <w:r w:rsidRPr="00144851">
        <w:rPr>
          <w:sz w:val="20"/>
        </w:rPr>
        <w:t xml:space="preserve"> 62-4.070(3)</w:t>
      </w:r>
      <w:r w:rsidR="00ED5C2A" w:rsidRPr="00144851">
        <w:rPr>
          <w:sz w:val="20"/>
        </w:rPr>
        <w:t xml:space="preserve"> and</w:t>
      </w:r>
      <w:r w:rsidRPr="00144851">
        <w:rPr>
          <w:sz w:val="20"/>
        </w:rPr>
        <w:t xml:space="preserve"> 62-213.440(1</w:t>
      </w:r>
      <w:proofErr w:type="gramStart"/>
      <w:r w:rsidRPr="00144851">
        <w:rPr>
          <w:sz w:val="20"/>
        </w:rPr>
        <w:t>)(</w:t>
      </w:r>
      <w:proofErr w:type="gramEnd"/>
      <w:r w:rsidRPr="00144851">
        <w:rPr>
          <w:sz w:val="20"/>
        </w:rPr>
        <w:t>b)1.b, F.A.C.</w:t>
      </w:r>
      <w:r w:rsidR="00ED5C2A" w:rsidRPr="00144851">
        <w:rPr>
          <w:sz w:val="20"/>
        </w:rPr>
        <w:t>; and Permits 0510003-0</w:t>
      </w:r>
      <w:r w:rsidR="00A94F79" w:rsidRPr="00144851">
        <w:rPr>
          <w:sz w:val="20"/>
        </w:rPr>
        <w:t>18-</w:t>
      </w:r>
      <w:r w:rsidR="00ED5C2A" w:rsidRPr="00144851">
        <w:rPr>
          <w:sz w:val="20"/>
        </w:rPr>
        <w:t>AC</w:t>
      </w:r>
      <w:r w:rsidR="00A94F79" w:rsidRPr="00144851">
        <w:rPr>
          <w:sz w:val="20"/>
        </w:rPr>
        <w:t>, 0510003-039-AC and PSD-FL-333C</w:t>
      </w:r>
      <w:r w:rsidRPr="00144851">
        <w:rPr>
          <w:sz w:val="20"/>
        </w:rPr>
        <w: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lastRenderedPageBreak/>
        <w:t xml:space="preserve">Distillate </w:t>
      </w:r>
      <w:r w:rsidR="00E07E38" w:rsidRPr="00144851">
        <w:rPr>
          <w:sz w:val="20"/>
          <w:u w:val="single"/>
        </w:rPr>
        <w:t>Oil Firing Records</w:t>
      </w:r>
      <w:r w:rsidR="00E07E38" w:rsidRPr="00144851">
        <w:rPr>
          <w:sz w:val="20"/>
        </w:rPr>
        <w:t xml:space="preserve">:  </w:t>
      </w:r>
      <w:r w:rsidR="00DA21EA" w:rsidRPr="00144851">
        <w:rPr>
          <w:sz w:val="20"/>
        </w:rPr>
        <w:t xml:space="preserve">Within three </w:t>
      </w:r>
      <w:r w:rsidR="00C94157" w:rsidRPr="00144851">
        <w:rPr>
          <w:sz w:val="20"/>
        </w:rPr>
        <w:t>working day</w:t>
      </w:r>
      <w:r w:rsidR="00DA21EA" w:rsidRPr="00144851">
        <w:rPr>
          <w:sz w:val="20"/>
        </w:rPr>
        <w:t>s</w:t>
      </w:r>
      <w:r w:rsidR="00C94157" w:rsidRPr="00144851">
        <w:rPr>
          <w:sz w:val="20"/>
        </w:rPr>
        <w:t xml:space="preserve"> </w:t>
      </w:r>
      <w:r w:rsidR="00DA21EA" w:rsidRPr="00144851">
        <w:rPr>
          <w:sz w:val="20"/>
        </w:rPr>
        <w:t xml:space="preserve">following </w:t>
      </w:r>
      <w:r w:rsidR="00C94157" w:rsidRPr="00144851">
        <w:rPr>
          <w:sz w:val="20"/>
        </w:rPr>
        <w:t xml:space="preserve">each month, </w:t>
      </w:r>
      <w:r w:rsidR="00E07E38" w:rsidRPr="00144851">
        <w:rPr>
          <w:sz w:val="20"/>
        </w:rPr>
        <w:t xml:space="preserve">the permittee shall observe the </w:t>
      </w:r>
      <w:r w:rsidR="00DA21EA" w:rsidRPr="00144851">
        <w:rPr>
          <w:sz w:val="20"/>
        </w:rPr>
        <w:t xml:space="preserve">integrator on the </w:t>
      </w:r>
      <w:r w:rsidR="00E07E38" w:rsidRPr="00144851">
        <w:rPr>
          <w:sz w:val="20"/>
        </w:rPr>
        <w:t>oil flow meter</w:t>
      </w:r>
      <w:r w:rsidR="00DA21EA" w:rsidRPr="00144851">
        <w:rPr>
          <w:sz w:val="20"/>
        </w:rPr>
        <w:t xml:space="preserve"> of each</w:t>
      </w:r>
      <w:r w:rsidR="00E07E38" w:rsidRPr="00144851">
        <w:rPr>
          <w:sz w:val="20"/>
        </w:rPr>
        <w:t xml:space="preserve"> </w:t>
      </w:r>
      <w:r w:rsidR="00DA21EA" w:rsidRPr="00144851">
        <w:rPr>
          <w:sz w:val="20"/>
        </w:rPr>
        <w:t xml:space="preserve">combustion unit </w:t>
      </w:r>
      <w:r w:rsidR="00E07E38" w:rsidRPr="00144851">
        <w:rPr>
          <w:sz w:val="20"/>
        </w:rPr>
        <w:t xml:space="preserve">and record the amount oil fired for the </w:t>
      </w:r>
      <w:r w:rsidR="00C94157" w:rsidRPr="00144851">
        <w:rPr>
          <w:sz w:val="20"/>
        </w:rPr>
        <w:t xml:space="preserve">previous </w:t>
      </w:r>
      <w:r w:rsidR="00E07E38" w:rsidRPr="00144851">
        <w:rPr>
          <w:sz w:val="20"/>
        </w:rPr>
        <w:t xml:space="preserve">month.  To determine compliance with oil firing restrictions and caps, the permittee shall also calculate and record the 12-month rolling total oil firing rate.  </w:t>
      </w:r>
      <w:r w:rsidR="00DA5BE2" w:rsidRPr="00144851">
        <w:rPr>
          <w:color w:val="000000"/>
          <w:sz w:val="20"/>
        </w:rPr>
        <w:t xml:space="preserve">When requested by the Department or Compliance Authority, these records shall be available within 3 days of such request.  </w:t>
      </w:r>
      <w:r w:rsidR="00E07E38" w:rsidRPr="00144851">
        <w:rPr>
          <w:sz w:val="20"/>
        </w:rPr>
        <w:t xml:space="preserve">This information shall also be used for the Annual Operating Report.  The total annual heat input rate from oil firing shall be calculated based on the annual firing rate and the measured heating values as determined from the sampling and analyses conducted throughout the year.  [Rules 62-4.070(3) and </w:t>
      </w:r>
      <w:r w:rsidR="00E07E38" w:rsidRPr="00144851">
        <w:rPr>
          <w:color w:val="000000"/>
          <w:sz w:val="20"/>
        </w:rPr>
        <w:t>62-213.440(1</w:t>
      </w:r>
      <w:proofErr w:type="gramStart"/>
      <w:r w:rsidR="00E07E38" w:rsidRPr="00144851">
        <w:rPr>
          <w:color w:val="000000"/>
          <w:sz w:val="20"/>
        </w:rPr>
        <w:t>)(</w:t>
      </w:r>
      <w:proofErr w:type="gramEnd"/>
      <w:r w:rsidR="00E07E38" w:rsidRPr="00144851">
        <w:rPr>
          <w:color w:val="000000"/>
          <w:sz w:val="20"/>
        </w:rPr>
        <w:t>b)1.b, F.A.C.</w:t>
      </w:r>
      <w:r w:rsidR="00E07E38" w:rsidRPr="00144851">
        <w:rPr>
          <w:sz w:val="20"/>
        </w:rPr>
        <w:t>]</w:t>
      </w:r>
    </w:p>
    <w:p w:rsidR="00E07E38" w:rsidRPr="00144851" w:rsidRDefault="00980686" w:rsidP="00597A40">
      <w:pPr>
        <w:widowControl w:val="0"/>
        <w:spacing w:before="120" w:after="120"/>
        <w:rPr>
          <w:b/>
          <w:caps/>
          <w:sz w:val="20"/>
        </w:rPr>
      </w:pPr>
      <w:r w:rsidRPr="00144851">
        <w:rPr>
          <w:b/>
          <w:caps/>
          <w:sz w:val="20"/>
        </w:rPr>
        <w:t xml:space="preserve">Incidental Amounts of </w:t>
      </w:r>
      <w:r w:rsidR="00E07E38" w:rsidRPr="00144851">
        <w:rPr>
          <w:b/>
          <w:caps/>
          <w:sz w:val="20"/>
        </w:rPr>
        <w:t>On-Specification Used Oil Fuel</w:t>
      </w:r>
    </w:p>
    <w:p w:rsidR="00980686" w:rsidRPr="00144851" w:rsidRDefault="00980686" w:rsidP="00980686">
      <w:pPr>
        <w:widowControl w:val="0"/>
        <w:spacing w:after="120"/>
        <w:rPr>
          <w:sz w:val="20"/>
        </w:rPr>
      </w:pPr>
      <w:r w:rsidRPr="00144851">
        <w:rPr>
          <w:sz w:val="20"/>
        </w:rPr>
        <w:t>The facility generates small amounts of on-specification used oil consisting mostly of hydraulic fluids and lubrication oils (&lt;&lt; than 10,000 gallons per year).  Leaks or spills of these fluids are removed from the work areas by absorbing with bagasse and/or wood chips and then adding to the common biomass conveyor for firing in any of the boilers.  The amount of oil is incidental and would not affect emissions.</w:t>
      </w:r>
    </w:p>
    <w:p w:rsidR="00605F47"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Firing</w:t>
      </w:r>
      <w:r w:rsidR="007147BE" w:rsidRPr="00144851">
        <w:rPr>
          <w:sz w:val="20"/>
        </w:rPr>
        <w:t>:</w:t>
      </w:r>
    </w:p>
    <w:p w:rsidR="00980686" w:rsidRPr="00144851" w:rsidRDefault="00980686"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The permittee may fire incidental amounts of bagasse/on-specification oil with other authorized fuels in any of the mill boilers.  To the extent practicable, the bagasse/on-specification oil shall be commingled with bagasse and/or wood chips in the existing conveyor system and distributed among the operational boilers.  [Rule 62-4.070, F.A.C. and Permit PSD-FL-333C]</w:t>
      </w:r>
    </w:p>
    <w:p w:rsidR="00605F47" w:rsidRPr="00144851" w:rsidRDefault="007147BE"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 xml:space="preserve">The permittee may fire on-specification used oil generated on site in the temporary rental refinery package boiler. </w:t>
      </w:r>
    </w:p>
    <w:p w:rsidR="00980686"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Specifications</w:t>
      </w:r>
      <w:r w:rsidRPr="00144851">
        <w:rPr>
          <w:sz w:val="20"/>
        </w:rPr>
        <w:t>:  Incidental amounts of used oil to be fired in the boilers shall be on-specification used oil generated on site at this facility.  The permittee shall maintain records sufficient to document that the used oil meets the following requirements:</w:t>
      </w:r>
    </w:p>
    <w:p w:rsidR="00980686" w:rsidRPr="00144851" w:rsidRDefault="00605F47" w:rsidP="002B31C6">
      <w:pPr>
        <w:widowControl w:val="0"/>
        <w:numPr>
          <w:ilvl w:val="0"/>
          <w:numId w:val="40"/>
        </w:numPr>
        <w:tabs>
          <w:tab w:val="clear" w:pos="720"/>
          <w:tab w:val="left" w:pos="-720"/>
        </w:tabs>
        <w:spacing w:after="120"/>
        <w:rPr>
          <w:sz w:val="20"/>
        </w:rPr>
      </w:pPr>
      <w:r w:rsidRPr="00144851">
        <w:rPr>
          <w:sz w:val="20"/>
        </w:rPr>
        <w:t>Only “on-specification” used oil containing a polychlorinated biphenyls (PCB) concentration of less than 50 ppm shall be fired at this facility.</w:t>
      </w:r>
    </w:p>
    <w:p w:rsidR="00980686" w:rsidRPr="00144851" w:rsidRDefault="00980686" w:rsidP="002B31C6">
      <w:pPr>
        <w:widowControl w:val="0"/>
        <w:numPr>
          <w:ilvl w:val="0"/>
          <w:numId w:val="40"/>
        </w:numPr>
        <w:tabs>
          <w:tab w:val="clear" w:pos="720"/>
          <w:tab w:val="left" w:pos="-720"/>
        </w:tabs>
        <w:spacing w:after="120"/>
        <w:rPr>
          <w:sz w:val="20"/>
        </w:rPr>
      </w:pPr>
      <w:r w:rsidRPr="00144851">
        <w:rPr>
          <w:sz w:val="20"/>
        </w:rPr>
        <w:t>The used oil shall meet the following EPA specifications for “on-specification used oil” in Subpart B of 40 CFR 279:</w:t>
      </w:r>
    </w:p>
    <w:tbl>
      <w:tblPr>
        <w:tblW w:w="0" w:type="auto"/>
        <w:tblInd w:w="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86" w:type="dxa"/>
          <w:bottom w:w="43" w:type="dxa"/>
          <w:right w:w="86" w:type="dxa"/>
        </w:tblCellMar>
        <w:tblLook w:val="0000"/>
      </w:tblPr>
      <w:tblGrid>
        <w:gridCol w:w="2102"/>
        <w:gridCol w:w="2070"/>
      </w:tblGrid>
      <w:tr w:rsidR="00605F47" w:rsidRPr="00144851" w:rsidTr="00A2416E">
        <w:trPr>
          <w:cantSplit/>
        </w:trPr>
        <w:tc>
          <w:tcPr>
            <w:tcW w:w="2102" w:type="dxa"/>
          </w:tcPr>
          <w:p w:rsidR="00605F47" w:rsidRPr="00144851" w:rsidRDefault="00605F47" w:rsidP="002B31C6">
            <w:pPr>
              <w:rPr>
                <w:b/>
                <w:sz w:val="20"/>
              </w:rPr>
            </w:pPr>
            <w:r w:rsidRPr="00144851">
              <w:rPr>
                <w:b/>
                <w:sz w:val="20"/>
              </w:rPr>
              <w:t>Constituent/Property</w:t>
            </w:r>
          </w:p>
        </w:tc>
        <w:tc>
          <w:tcPr>
            <w:tcW w:w="2070" w:type="dxa"/>
          </w:tcPr>
          <w:p w:rsidR="00605F47" w:rsidRPr="00144851" w:rsidRDefault="00605F47" w:rsidP="002B31C6">
            <w:pPr>
              <w:rPr>
                <w:b/>
                <w:sz w:val="20"/>
              </w:rPr>
            </w:pPr>
            <w:r w:rsidRPr="00144851">
              <w:rPr>
                <w:b/>
                <w:sz w:val="20"/>
              </w:rPr>
              <w:t>Allowable Level</w:t>
            </w:r>
          </w:p>
        </w:tc>
      </w:tr>
      <w:tr w:rsidR="00605F47" w:rsidRPr="00144851" w:rsidTr="00A2416E">
        <w:trPr>
          <w:cantSplit/>
        </w:trPr>
        <w:tc>
          <w:tcPr>
            <w:tcW w:w="2102" w:type="dxa"/>
          </w:tcPr>
          <w:p w:rsidR="00605F47" w:rsidRPr="00144851" w:rsidRDefault="00605F47" w:rsidP="002B31C6">
            <w:pPr>
              <w:rPr>
                <w:sz w:val="20"/>
              </w:rPr>
            </w:pPr>
            <w:r w:rsidRPr="00144851">
              <w:rPr>
                <w:sz w:val="20"/>
              </w:rPr>
              <w:t>Arsenic</w:t>
            </w:r>
          </w:p>
        </w:tc>
        <w:tc>
          <w:tcPr>
            <w:tcW w:w="2070" w:type="dxa"/>
          </w:tcPr>
          <w:p w:rsidR="00605F47" w:rsidRPr="00144851" w:rsidRDefault="00605F47" w:rsidP="002B31C6">
            <w:pPr>
              <w:rPr>
                <w:sz w:val="20"/>
              </w:rPr>
            </w:pPr>
            <w:r w:rsidRPr="00144851">
              <w:rPr>
                <w:sz w:val="20"/>
              </w:rPr>
              <w:t>5.0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Cadmium</w:t>
            </w:r>
          </w:p>
        </w:tc>
        <w:tc>
          <w:tcPr>
            <w:tcW w:w="2070" w:type="dxa"/>
          </w:tcPr>
          <w:p w:rsidR="00605F47" w:rsidRPr="00144851" w:rsidRDefault="00605F47" w:rsidP="002B31C6">
            <w:pPr>
              <w:rPr>
                <w:sz w:val="20"/>
              </w:rPr>
            </w:pPr>
            <w:r w:rsidRPr="00144851">
              <w:rPr>
                <w:sz w:val="20"/>
              </w:rPr>
              <w:t>2.0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Chromium</w:t>
            </w:r>
          </w:p>
        </w:tc>
        <w:tc>
          <w:tcPr>
            <w:tcW w:w="2070" w:type="dxa"/>
          </w:tcPr>
          <w:p w:rsidR="00605F47" w:rsidRPr="00144851" w:rsidRDefault="00605F47" w:rsidP="002B31C6">
            <w:pPr>
              <w:rPr>
                <w:sz w:val="20"/>
              </w:rPr>
            </w:pPr>
            <w:r w:rsidRPr="00144851">
              <w:rPr>
                <w:sz w:val="20"/>
              </w:rPr>
              <w:t>10.0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Lead</w:t>
            </w:r>
          </w:p>
        </w:tc>
        <w:tc>
          <w:tcPr>
            <w:tcW w:w="2070" w:type="dxa"/>
          </w:tcPr>
          <w:p w:rsidR="00605F47" w:rsidRPr="00144851" w:rsidRDefault="00605F47" w:rsidP="002B31C6">
            <w:pPr>
              <w:rPr>
                <w:sz w:val="20"/>
              </w:rPr>
            </w:pPr>
            <w:r w:rsidRPr="00144851">
              <w:rPr>
                <w:sz w:val="20"/>
              </w:rPr>
              <w:t>100.0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Total Halogens</w:t>
            </w:r>
          </w:p>
        </w:tc>
        <w:tc>
          <w:tcPr>
            <w:tcW w:w="2070" w:type="dxa"/>
          </w:tcPr>
          <w:p w:rsidR="00605F47" w:rsidRPr="00144851" w:rsidRDefault="00605F47" w:rsidP="002B31C6">
            <w:pPr>
              <w:rPr>
                <w:sz w:val="20"/>
              </w:rPr>
            </w:pPr>
            <w:r w:rsidRPr="00144851">
              <w:rPr>
                <w:sz w:val="20"/>
              </w:rPr>
              <w:t>1000.0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Flash point</w:t>
            </w:r>
          </w:p>
        </w:tc>
        <w:tc>
          <w:tcPr>
            <w:tcW w:w="2070" w:type="dxa"/>
          </w:tcPr>
          <w:p w:rsidR="00605F47" w:rsidRPr="00144851" w:rsidRDefault="00605F47" w:rsidP="002B31C6">
            <w:pPr>
              <w:rPr>
                <w:sz w:val="20"/>
              </w:rPr>
            </w:pPr>
            <w:r w:rsidRPr="00144851">
              <w:rPr>
                <w:sz w:val="20"/>
              </w:rPr>
              <w:t>100° F, minimum</w:t>
            </w:r>
          </w:p>
        </w:tc>
      </w:tr>
    </w:tbl>
    <w:p w:rsidR="00980686" w:rsidRPr="00144851" w:rsidRDefault="00605F47" w:rsidP="000E2C20">
      <w:pPr>
        <w:widowControl w:val="0"/>
        <w:spacing w:before="120" w:after="120"/>
        <w:ind w:left="720"/>
        <w:rPr>
          <w:sz w:val="20"/>
        </w:rPr>
      </w:pPr>
      <w:r w:rsidRPr="00144851">
        <w:rPr>
          <w:sz w:val="20"/>
        </w:rPr>
        <w:t>Used oil which fails to comply with any of these specification levels is considered “off-specification” used oil.  The firing of off-specification used oil at this facility is prohibited</w:t>
      </w:r>
      <w:r w:rsidR="007147BE" w:rsidRPr="00144851">
        <w:rPr>
          <w:sz w:val="20"/>
        </w:rPr>
        <w:t>.</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to less than 50 ppm shall be fired only at normal unit operating temperatures and shall not be fired during periods of startup or shutdown.</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or less may be fired at any time.</w:t>
      </w:r>
    </w:p>
    <w:p w:rsidR="000E2C20" w:rsidRPr="00144851" w:rsidRDefault="007147BE" w:rsidP="002B31C6">
      <w:pPr>
        <w:widowControl w:val="0"/>
        <w:numPr>
          <w:ilvl w:val="0"/>
          <w:numId w:val="40"/>
        </w:numPr>
        <w:tabs>
          <w:tab w:val="clear" w:pos="720"/>
          <w:tab w:val="left" w:pos="-720"/>
        </w:tabs>
        <w:spacing w:after="120"/>
        <w:rPr>
          <w:sz w:val="20"/>
        </w:rPr>
      </w:pPr>
      <w:r w:rsidRPr="00144851">
        <w:rPr>
          <w:sz w:val="20"/>
        </w:rPr>
        <w:t>O</w:t>
      </w:r>
      <w:r w:rsidR="000E2C20" w:rsidRPr="00144851">
        <w:rPr>
          <w:sz w:val="20"/>
        </w:rPr>
        <w:t>n-specification used oil shall meet the maximum sulfur content specified in the permit.</w:t>
      </w:r>
    </w:p>
    <w:p w:rsidR="007147BE" w:rsidRPr="00144851" w:rsidRDefault="007147BE" w:rsidP="007147BE">
      <w:pPr>
        <w:widowControl w:val="0"/>
        <w:tabs>
          <w:tab w:val="left" w:pos="-720"/>
        </w:tabs>
        <w:spacing w:after="120"/>
        <w:ind w:left="360"/>
        <w:rPr>
          <w:sz w:val="20"/>
        </w:rPr>
      </w:pPr>
      <w:r w:rsidRPr="00144851">
        <w:rPr>
          <w:sz w:val="20"/>
        </w:rPr>
        <w:t>[Rule 62-4.070, F.A.C.; Subpart B, 40 CFR 279; and Permit PSD-FL-333C and Permit 0510003-045-AC]</w:t>
      </w:r>
    </w:p>
    <w:p w:rsidR="00BD74B1" w:rsidRPr="00DC7E93" w:rsidRDefault="00980686" w:rsidP="0098068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Records</w:t>
      </w:r>
      <w:r w:rsidRPr="00144851">
        <w:rPr>
          <w:sz w:val="20"/>
        </w:rPr>
        <w:t>:  The permittee shall keep records sufficient to document compliance with the above requirements.  The records shall be made available when requested by the Compliance Authority.</w:t>
      </w:r>
      <w:r w:rsidR="00FC3EBD" w:rsidRPr="00144851">
        <w:rPr>
          <w:sz w:val="20"/>
        </w:rPr>
        <w:t xml:space="preserve">  Annual usage of on-specification used oil shall be reported in the Annual Operating Report.</w:t>
      </w:r>
      <w:r w:rsidRPr="00144851">
        <w:rPr>
          <w:sz w:val="20"/>
        </w:rPr>
        <w:t xml:space="preserve">  [Rule 62-4.070, F.A.C.</w:t>
      </w:r>
      <w:r w:rsidR="00FE6B46" w:rsidRPr="00144851">
        <w:rPr>
          <w:sz w:val="20"/>
        </w:rPr>
        <w:t xml:space="preserve"> and Permit PSD-FL-333C</w:t>
      </w:r>
      <w:r w:rsidR="00905592" w:rsidRPr="00144851">
        <w:rPr>
          <w:sz w:val="20"/>
        </w:rPr>
        <w:t xml:space="preserve"> and Permit 0510003-045-AC</w:t>
      </w:r>
      <w:r w:rsidRPr="00144851">
        <w:rPr>
          <w:sz w:val="20"/>
        </w:rPr>
        <w:t>]</w:t>
      </w:r>
    </w:p>
    <w:p w:rsidR="00BD74B1" w:rsidRPr="00144851" w:rsidRDefault="00BD74B1" w:rsidP="00597A40">
      <w:pPr>
        <w:widowControl w:val="0"/>
        <w:spacing w:after="120"/>
        <w:rPr>
          <w:sz w:val="20"/>
        </w:rPr>
        <w:sectPr w:rsidR="00BD74B1" w:rsidRPr="00144851" w:rsidSect="00DD4B9D">
          <w:headerReference w:type="even" r:id="rId22"/>
          <w:headerReference w:type="default" r:id="rId23"/>
          <w:footerReference w:type="default" r:id="rId24"/>
          <w:headerReference w:type="first" r:id="rId25"/>
          <w:pgSz w:w="12240" w:h="15840" w:code="1"/>
          <w:pgMar w:top="720" w:right="1008" w:bottom="720" w:left="1008" w:header="720" w:footer="576" w:gutter="0"/>
          <w:paperSrc w:first="7" w:other="7"/>
          <w:pgNumType w:start="1"/>
          <w:cols w:space="720"/>
        </w:sectPr>
      </w:pPr>
    </w:p>
    <w:p w:rsidR="00E07E38" w:rsidRPr="00144851" w:rsidRDefault="00E07E38" w:rsidP="00E07E38">
      <w:pPr>
        <w:pStyle w:val="OmniPage517"/>
        <w:widowControl w:val="0"/>
        <w:spacing w:after="120" w:line="240" w:lineRule="auto"/>
        <w:ind w:left="0" w:right="0"/>
        <w:jc w:val="both"/>
        <w:rPr>
          <w:rFonts w:ascii="Times New Roman" w:hAnsi="Times New Roman"/>
          <w:b/>
          <w:noProof w:val="0"/>
          <w:sz w:val="20"/>
        </w:rPr>
      </w:pPr>
      <w:r w:rsidRPr="00144851">
        <w:rPr>
          <w:rFonts w:ascii="Times New Roman" w:hAnsi="Times New Roman"/>
          <w:b/>
          <w:noProof w:val="0"/>
          <w:sz w:val="20"/>
        </w:rPr>
        <w:lastRenderedPageBreak/>
        <w:t>Purpose</w:t>
      </w:r>
    </w:p>
    <w:p w:rsidR="00E07E38" w:rsidRPr="00144851" w:rsidRDefault="00E07E38" w:rsidP="00287B7E">
      <w:pPr>
        <w:pStyle w:val="OmniPage518"/>
        <w:widowControl w:val="0"/>
        <w:spacing w:after="120" w:line="240" w:lineRule="auto"/>
        <w:ind w:left="0" w:right="0"/>
        <w:rPr>
          <w:rFonts w:ascii="Times New Roman" w:hAnsi="Times New Roman"/>
          <w:noProof w:val="0"/>
          <w:sz w:val="20"/>
        </w:rPr>
      </w:pPr>
      <w:r w:rsidRPr="00144851">
        <w:rPr>
          <w:rFonts w:ascii="Times New Roman" w:hAnsi="Times New Roman"/>
          <w:noProof w:val="0"/>
          <w:sz w:val="20"/>
        </w:rPr>
        <w:t>The purpose of this plan is to summarize the operational, maintenance and monitoring procedures that will promote good combustion in the sugar mill boilers.  Careful attention to the mixing of fuel and combustion air will result in efficient combustion and minimize CO, PM and VOC emissions while optimizing NO</w:t>
      </w:r>
      <w:r w:rsidR="00311211" w:rsidRPr="00144851">
        <w:rPr>
          <w:rFonts w:ascii="Times New Roman" w:hAnsi="Times New Roman"/>
          <w:noProof w:val="0"/>
          <w:sz w:val="20"/>
          <w:vertAlign w:val="subscript"/>
        </w:rPr>
        <w:t>X</w:t>
      </w:r>
      <w:r w:rsidRPr="00144851">
        <w:rPr>
          <w:rFonts w:ascii="Times New Roman" w:hAnsi="Times New Roman"/>
          <w:noProof w:val="0"/>
          <w:sz w:val="20"/>
        </w:rPr>
        <w:t xml:space="preserve"> emissions.  </w:t>
      </w:r>
      <w:r w:rsidR="00311211" w:rsidRPr="00144851">
        <w:rPr>
          <w:rFonts w:ascii="Times New Roman" w:hAnsi="Times New Roman"/>
          <w:noProof w:val="0"/>
          <w:sz w:val="20"/>
        </w:rPr>
        <w:t xml:space="preserve">Adequate maintenance will </w:t>
      </w:r>
      <w:r w:rsidR="00FF5C41" w:rsidRPr="00144851">
        <w:rPr>
          <w:rFonts w:ascii="Times New Roman" w:hAnsi="Times New Roman"/>
          <w:noProof w:val="0"/>
          <w:sz w:val="20"/>
        </w:rPr>
        <w:t xml:space="preserve">promote effective combustion and </w:t>
      </w:r>
      <w:r w:rsidR="00311211" w:rsidRPr="00144851">
        <w:rPr>
          <w:rFonts w:ascii="Times New Roman" w:hAnsi="Times New Roman"/>
          <w:noProof w:val="0"/>
          <w:sz w:val="20"/>
        </w:rPr>
        <w:t xml:space="preserve">ensure </w:t>
      </w:r>
      <w:r w:rsidR="00FF5C41" w:rsidRPr="00144851">
        <w:rPr>
          <w:rFonts w:ascii="Times New Roman" w:hAnsi="Times New Roman"/>
          <w:noProof w:val="0"/>
          <w:sz w:val="20"/>
        </w:rPr>
        <w:t xml:space="preserve">reliable operation throughout the crop season.  </w:t>
      </w:r>
      <w:r w:rsidRPr="00144851">
        <w:rPr>
          <w:rFonts w:ascii="Times New Roman" w:hAnsi="Times New Roman"/>
          <w:noProof w:val="0"/>
          <w:sz w:val="20"/>
        </w:rPr>
        <w:t xml:space="preserve">See the </w:t>
      </w:r>
      <w:r w:rsidR="00815875" w:rsidRPr="00144851">
        <w:rPr>
          <w:rFonts w:ascii="Times New Roman" w:hAnsi="Times New Roman"/>
          <w:noProof w:val="0"/>
          <w:sz w:val="20"/>
        </w:rPr>
        <w:t xml:space="preserve">permit </w:t>
      </w:r>
      <w:r w:rsidRPr="00144851">
        <w:rPr>
          <w:rFonts w:ascii="Times New Roman" w:hAnsi="Times New Roman"/>
          <w:noProof w:val="0"/>
          <w:sz w:val="20"/>
        </w:rPr>
        <w:t xml:space="preserve">subsections for </w:t>
      </w:r>
      <w:r w:rsidR="00815875" w:rsidRPr="00144851">
        <w:rPr>
          <w:rFonts w:ascii="Times New Roman" w:hAnsi="Times New Roman"/>
          <w:noProof w:val="0"/>
          <w:sz w:val="20"/>
        </w:rPr>
        <w:t xml:space="preserve">other specific requirements regarding </w:t>
      </w:r>
      <w:r w:rsidRPr="00144851">
        <w:rPr>
          <w:rFonts w:ascii="Times New Roman" w:hAnsi="Times New Roman"/>
          <w:noProof w:val="0"/>
          <w:sz w:val="20"/>
        </w:rPr>
        <w:t>good combustion practices.</w:t>
      </w:r>
    </w:p>
    <w:p w:rsidR="00287B7E" w:rsidRPr="00144851" w:rsidRDefault="00287B7E"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Training</w:t>
      </w:r>
    </w:p>
    <w:p w:rsidR="00287B7E" w:rsidRPr="00144851" w:rsidRDefault="006E7EC7" w:rsidP="00621A07">
      <w:pPr>
        <w:pStyle w:val="OmniPage520"/>
        <w:widowControl w:val="0"/>
        <w:tabs>
          <w:tab w:val="clear" w:pos="667"/>
          <w:tab w:val="clear" w:pos="9246"/>
        </w:tabs>
        <w:spacing w:after="120" w:line="240" w:lineRule="auto"/>
        <w:ind w:left="0" w:right="0"/>
        <w:rPr>
          <w:rFonts w:ascii="Times New Roman" w:hAnsi="Times New Roman"/>
          <w:noProof w:val="0"/>
          <w:sz w:val="20"/>
        </w:rPr>
      </w:pPr>
      <w:r w:rsidRPr="00144851">
        <w:rPr>
          <w:rFonts w:ascii="Times New Roman" w:hAnsi="Times New Roman"/>
          <w:noProof w:val="0"/>
          <w:sz w:val="20"/>
        </w:rPr>
        <w:t xml:space="preserve">Power plant operators </w:t>
      </w:r>
      <w:r w:rsidR="00EE028B" w:rsidRPr="00144851">
        <w:rPr>
          <w:rFonts w:ascii="Times New Roman" w:hAnsi="Times New Roman"/>
          <w:noProof w:val="0"/>
          <w:sz w:val="20"/>
        </w:rPr>
        <w:t>are</w:t>
      </w:r>
      <w:r w:rsidRPr="00144851">
        <w:rPr>
          <w:rFonts w:ascii="Times New Roman" w:hAnsi="Times New Roman"/>
          <w:noProof w:val="0"/>
          <w:sz w:val="20"/>
        </w:rPr>
        <w:t xml:space="preserve"> certified by the National Institute for the Uniform Licensing of Power Engineers (NIULPE) as 4</w:t>
      </w:r>
      <w:r w:rsidRPr="00144851">
        <w:rPr>
          <w:rFonts w:ascii="Times New Roman" w:hAnsi="Times New Roman"/>
          <w:noProof w:val="0"/>
          <w:sz w:val="20"/>
          <w:vertAlign w:val="superscript"/>
        </w:rPr>
        <w:t>th</w:t>
      </w:r>
      <w:r w:rsidRPr="00144851">
        <w:rPr>
          <w:rFonts w:ascii="Times New Roman" w:hAnsi="Times New Roman"/>
          <w:noProof w:val="0"/>
          <w:sz w:val="20"/>
        </w:rPr>
        <w:t xml:space="preserve"> Class Engineer</w:t>
      </w:r>
      <w:r w:rsidR="00EE028B" w:rsidRPr="00144851">
        <w:rPr>
          <w:rFonts w:ascii="Times New Roman" w:hAnsi="Times New Roman"/>
          <w:noProof w:val="0"/>
          <w:sz w:val="20"/>
        </w:rPr>
        <w:t>s or better</w:t>
      </w:r>
      <w:r w:rsidRPr="00144851">
        <w:rPr>
          <w:rFonts w:ascii="Times New Roman" w:hAnsi="Times New Roman"/>
          <w:noProof w:val="0"/>
          <w:sz w:val="20"/>
        </w:rPr>
        <w:t xml:space="preserve">.  </w:t>
      </w:r>
      <w:r w:rsidR="00EE028B" w:rsidRPr="00144851">
        <w:rPr>
          <w:rFonts w:ascii="Times New Roman" w:hAnsi="Times New Roman"/>
          <w:noProof w:val="0"/>
          <w:sz w:val="20"/>
        </w:rPr>
        <w:t>The rate of pay is based on a sliding scale that encourages higher certification up to 1</w:t>
      </w:r>
      <w:r w:rsidR="00EE028B" w:rsidRPr="00144851">
        <w:rPr>
          <w:rFonts w:ascii="Times New Roman" w:hAnsi="Times New Roman"/>
          <w:noProof w:val="0"/>
          <w:sz w:val="20"/>
          <w:vertAlign w:val="superscript"/>
        </w:rPr>
        <w:t>st</w:t>
      </w:r>
      <w:r w:rsidR="00EE028B" w:rsidRPr="00144851">
        <w:rPr>
          <w:rFonts w:ascii="Times New Roman" w:hAnsi="Times New Roman"/>
          <w:noProof w:val="0"/>
          <w:sz w:val="20"/>
        </w:rPr>
        <w:t xml:space="preserve"> Class Engineer.  Other training requirements accompany this outside certification including all aspects of good combustion practices as well as the proper operation of the boiler and control equipment to minimize emissions.</w:t>
      </w:r>
    </w:p>
    <w:p w:rsidR="00C538EA" w:rsidRPr="00144851" w:rsidRDefault="00621A07"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Requirements</w:t>
      </w:r>
    </w:p>
    <w:p w:rsidR="00621A07" w:rsidRPr="00144851" w:rsidRDefault="00621A07" w:rsidP="00DF7669">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and Repair Activities</w:t>
      </w:r>
      <w:r w:rsidRPr="00144851">
        <w:rPr>
          <w:rFonts w:ascii="Times New Roman" w:hAnsi="Times New Roman"/>
          <w:sz w:val="20"/>
        </w:rPr>
        <w:t xml:space="preserve">:  </w:t>
      </w:r>
      <w:r w:rsidR="00E015F1" w:rsidRPr="00144851">
        <w:rPr>
          <w:rFonts w:ascii="Times New Roman" w:hAnsi="Times New Roman"/>
          <w:sz w:val="20"/>
        </w:rPr>
        <w:t>O</w:t>
      </w:r>
      <w:r w:rsidRPr="00144851">
        <w:rPr>
          <w:rFonts w:ascii="Times New Roman" w:hAnsi="Times New Roman"/>
          <w:sz w:val="20"/>
        </w:rPr>
        <w:t xml:space="preserve">ff season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are intended to maintain the boilers at current operational levels and reliability for the upcoming cane milling seasons.  </w:t>
      </w:r>
      <w:r w:rsidR="00E015F1" w:rsidRPr="00144851">
        <w:rPr>
          <w:rFonts w:ascii="Times New Roman" w:hAnsi="Times New Roman"/>
          <w:sz w:val="20"/>
        </w:rPr>
        <w:t xml:space="preserve">Replacements shall be made with “functionally equivalent” components that serve the same purpose as the component being replaced.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shall not increase the capacity of any boiler or change the basic design parameters including fuel firing rates or heat input rates.  </w:t>
      </w:r>
      <w:r w:rsidR="00E015F1" w:rsidRPr="00144851">
        <w:rPr>
          <w:rFonts w:ascii="Times New Roman" w:hAnsi="Times New Roman"/>
          <w:sz w:val="20"/>
        </w:rPr>
        <w:t>In addition, such activities</w:t>
      </w:r>
      <w:r w:rsidRPr="00144851">
        <w:rPr>
          <w:rFonts w:ascii="Times New Roman" w:hAnsi="Times New Roman"/>
          <w:sz w:val="20"/>
        </w:rPr>
        <w:t xml:space="preserve"> shall not increase the emission rates of any boiler or the cane milling capacity of the plant.</w:t>
      </w:r>
      <w:r w:rsidR="00835341" w:rsidRPr="00144851">
        <w:rPr>
          <w:rFonts w:ascii="Times New Roman" w:hAnsi="Times New Roman"/>
          <w:sz w:val="20"/>
        </w:rPr>
        <w:t xml:space="preserve">  The permittee shall consult well in advance with the Department regarding any unusually large, expensive or infrequent maintenance efforts that may not be considered routine.</w:t>
      </w:r>
      <w:r w:rsidRPr="00144851">
        <w:rPr>
          <w:rFonts w:ascii="Times New Roman" w:hAnsi="Times New Roman"/>
          <w:sz w:val="20"/>
        </w:rPr>
        <w:t xml:space="preserve">  [Permit 0510003-022-AC]</w:t>
      </w:r>
    </w:p>
    <w:p w:rsidR="00C538EA" w:rsidRPr="00144851" w:rsidRDefault="00C538EA" w:rsidP="00C538EA">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Summary Report</w:t>
      </w:r>
      <w:r w:rsidRPr="00144851">
        <w:rPr>
          <w:rFonts w:ascii="Times New Roman" w:hAnsi="Times New Roman"/>
          <w:sz w:val="20"/>
        </w:rPr>
        <w:t xml:space="preserve">:  Within 60 days of beginning the </w:t>
      </w:r>
      <w:r w:rsidR="00366F93" w:rsidRPr="00144851">
        <w:rPr>
          <w:rFonts w:ascii="Times New Roman" w:hAnsi="Times New Roman"/>
          <w:sz w:val="20"/>
        </w:rPr>
        <w:t>crop season</w:t>
      </w:r>
      <w:r w:rsidRPr="00144851">
        <w:rPr>
          <w:rFonts w:ascii="Times New Roman" w:hAnsi="Times New Roman"/>
          <w:sz w:val="20"/>
        </w:rPr>
        <w:t xml:space="preserve">, the permittee shall submit a report to the Department’s </w:t>
      </w:r>
      <w:r w:rsidR="00621A07" w:rsidRPr="00144851">
        <w:rPr>
          <w:rFonts w:ascii="Times New Roman" w:hAnsi="Times New Roman"/>
          <w:sz w:val="20"/>
        </w:rPr>
        <w:t>Bureau of Air Regulation and the Complaince Authority</w:t>
      </w:r>
      <w:r w:rsidRPr="00144851">
        <w:rPr>
          <w:rFonts w:ascii="Times New Roman" w:hAnsi="Times New Roman"/>
          <w:sz w:val="20"/>
        </w:rPr>
        <w:t xml:space="preserve"> that summarizes the following information: </w:t>
      </w:r>
      <w:r w:rsidR="00835341" w:rsidRPr="00144851">
        <w:rPr>
          <w:rFonts w:ascii="Times New Roman" w:hAnsi="Times New Roman"/>
          <w:sz w:val="20"/>
        </w:rPr>
        <w:t xml:space="preserve"> </w:t>
      </w:r>
      <w:r w:rsidRPr="00144851">
        <w:rPr>
          <w:rFonts w:ascii="Times New Roman" w:hAnsi="Times New Roman"/>
          <w:sz w:val="20"/>
        </w:rPr>
        <w:t xml:space="preserve">a general description of the </w:t>
      </w:r>
      <w:r w:rsidR="00835341" w:rsidRPr="00144851">
        <w:rPr>
          <w:rFonts w:ascii="Times New Roman" w:hAnsi="Times New Roman"/>
          <w:sz w:val="20"/>
        </w:rPr>
        <w:t xml:space="preserve">routine </w:t>
      </w:r>
      <w:r w:rsidR="00621A07" w:rsidRPr="00144851">
        <w:rPr>
          <w:rFonts w:ascii="Times New Roman" w:hAnsi="Times New Roman"/>
          <w:sz w:val="20"/>
        </w:rPr>
        <w:t>maintenance and rep</w:t>
      </w:r>
      <w:r w:rsidR="00835341" w:rsidRPr="00144851">
        <w:rPr>
          <w:rFonts w:ascii="Times New Roman" w:hAnsi="Times New Roman"/>
          <w:sz w:val="20"/>
        </w:rPr>
        <w:t>a</w:t>
      </w:r>
      <w:r w:rsidR="00621A07" w:rsidRPr="00144851">
        <w:rPr>
          <w:rFonts w:ascii="Times New Roman" w:hAnsi="Times New Roman"/>
          <w:sz w:val="20"/>
        </w:rPr>
        <w:t xml:space="preserve">ir </w:t>
      </w:r>
      <w:r w:rsidRPr="00144851">
        <w:rPr>
          <w:rFonts w:ascii="Times New Roman" w:hAnsi="Times New Roman"/>
          <w:sz w:val="20"/>
        </w:rPr>
        <w:t xml:space="preserve">work performed on each boiler during the previous off season; a summary of the off season maintenance inspections; </w:t>
      </w:r>
      <w:r w:rsidR="00621A07" w:rsidRPr="00144851">
        <w:rPr>
          <w:rFonts w:ascii="Times New Roman" w:hAnsi="Times New Roman"/>
          <w:sz w:val="20"/>
        </w:rPr>
        <w:t xml:space="preserve">and </w:t>
      </w:r>
      <w:r w:rsidRPr="00144851">
        <w:rPr>
          <w:rFonts w:ascii="Times New Roman" w:hAnsi="Times New Roman"/>
          <w:sz w:val="20"/>
        </w:rPr>
        <w:t xml:space="preserve">a revised schedule of </w:t>
      </w:r>
      <w:r w:rsidR="00835341" w:rsidRPr="00144851">
        <w:rPr>
          <w:rFonts w:ascii="Times New Roman" w:hAnsi="Times New Roman"/>
          <w:sz w:val="20"/>
        </w:rPr>
        <w:t xml:space="preserve">routine </w:t>
      </w:r>
      <w:r w:rsidRPr="00144851">
        <w:rPr>
          <w:rFonts w:ascii="Times New Roman" w:hAnsi="Times New Roman"/>
          <w:sz w:val="20"/>
        </w:rPr>
        <w:t>maintenance and repair activities for the next off season</w:t>
      </w:r>
      <w:r w:rsidR="00835341" w:rsidRPr="00144851">
        <w:rPr>
          <w:rFonts w:ascii="Times New Roman" w:hAnsi="Times New Roman"/>
          <w:sz w:val="20"/>
        </w:rPr>
        <w:t xml:space="preserve"> based on the recent inspections and schedule</w:t>
      </w:r>
      <w:r w:rsidRPr="00144851">
        <w:rPr>
          <w:rFonts w:ascii="Times New Roman" w:hAnsi="Times New Roman"/>
          <w:sz w:val="20"/>
        </w:rPr>
        <w:t>.  [</w:t>
      </w:r>
      <w:r w:rsidR="00621A07" w:rsidRPr="00144851">
        <w:rPr>
          <w:rFonts w:ascii="Times New Roman" w:hAnsi="Times New Roman"/>
          <w:sz w:val="20"/>
        </w:rPr>
        <w:t>Permit 0510003-022-AC</w:t>
      </w:r>
      <w:r w:rsidRPr="00144851">
        <w:rPr>
          <w:rFonts w:ascii="Times New Roman" w:hAnsi="Times New Roman"/>
          <w:sz w:val="20"/>
        </w:rPr>
        <w:t>]</w:t>
      </w:r>
    </w:p>
    <w:p w:rsidR="00F57F05" w:rsidRPr="00144851" w:rsidRDefault="0017242B" w:rsidP="0017242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Off Season Preparations</w:t>
      </w:r>
      <w:r w:rsidRPr="00144851">
        <w:rPr>
          <w:rFonts w:ascii="Times New Roman" w:hAnsi="Times New Roman"/>
          <w:noProof w:val="0"/>
          <w:sz w:val="20"/>
        </w:rPr>
        <w:t>:  Before each crop season, t</w:t>
      </w:r>
      <w:r w:rsidR="00F57F05" w:rsidRPr="00144851">
        <w:rPr>
          <w:rFonts w:ascii="Times New Roman" w:hAnsi="Times New Roman"/>
          <w:noProof w:val="0"/>
          <w:sz w:val="20"/>
        </w:rPr>
        <w:t xml:space="preserve">he </w:t>
      </w:r>
      <w:r w:rsidR="001669EB" w:rsidRPr="00144851">
        <w:rPr>
          <w:rFonts w:ascii="Times New Roman" w:hAnsi="Times New Roman"/>
          <w:noProof w:val="0"/>
          <w:sz w:val="20"/>
        </w:rPr>
        <w:t xml:space="preserve">permittee shall conduct the </w:t>
      </w:r>
      <w:r w:rsidR="00F57F05" w:rsidRPr="00144851">
        <w:rPr>
          <w:rFonts w:ascii="Times New Roman" w:hAnsi="Times New Roman"/>
          <w:noProof w:val="0"/>
          <w:sz w:val="20"/>
        </w:rPr>
        <w:t xml:space="preserve">following </w:t>
      </w:r>
      <w:r w:rsidRPr="00144851">
        <w:rPr>
          <w:rFonts w:ascii="Times New Roman" w:hAnsi="Times New Roman"/>
          <w:noProof w:val="0"/>
          <w:sz w:val="20"/>
        </w:rPr>
        <w:t xml:space="preserve">activities </w:t>
      </w:r>
      <w:r w:rsidR="00F57F05" w:rsidRPr="00144851">
        <w:rPr>
          <w:rFonts w:ascii="Times New Roman" w:hAnsi="Times New Roman"/>
          <w:noProof w:val="0"/>
          <w:sz w:val="20"/>
        </w:rPr>
        <w:t>as necessary to ensure proper operation</w:t>
      </w:r>
      <w:r w:rsidRPr="00144851">
        <w:rPr>
          <w:rFonts w:ascii="Times New Roman" w:hAnsi="Times New Roman"/>
          <w:noProof w:val="0"/>
          <w:sz w:val="20"/>
        </w:rPr>
        <w:t xml:space="preserve"> of the boilers and control equipment.</w:t>
      </w:r>
    </w:p>
    <w:p w:rsidR="00207DFC" w:rsidRPr="00144851" w:rsidRDefault="00DD62A7" w:rsidP="002B31C6">
      <w:pPr>
        <w:pStyle w:val="OmniPage520"/>
        <w:widowControl w:val="0"/>
        <w:numPr>
          <w:ilvl w:val="0"/>
          <w:numId w:val="47"/>
        </w:numPr>
        <w:tabs>
          <w:tab w:val="clear" w:pos="667"/>
          <w:tab w:val="clear" w:pos="9246"/>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t</w:t>
      </w:r>
      <w:r w:rsidR="00207DFC" w:rsidRPr="00144851">
        <w:rPr>
          <w:rFonts w:ascii="Times New Roman" w:hAnsi="Times New Roman"/>
          <w:noProof w:val="0"/>
          <w:sz w:val="20"/>
        </w:rPr>
        <w:t>he boiler, air ductwork, air heaters</w:t>
      </w:r>
      <w:r w:rsidRPr="00144851">
        <w:rPr>
          <w:rFonts w:ascii="Times New Roman" w:hAnsi="Times New Roman"/>
          <w:noProof w:val="0"/>
          <w:sz w:val="20"/>
        </w:rPr>
        <w:t xml:space="preserve">, wet </w:t>
      </w:r>
      <w:r w:rsidR="00207DFC" w:rsidRPr="00144851">
        <w:rPr>
          <w:rFonts w:ascii="Times New Roman" w:hAnsi="Times New Roman"/>
          <w:noProof w:val="0"/>
          <w:sz w:val="20"/>
        </w:rPr>
        <w:t>scrubber</w:t>
      </w:r>
      <w:r w:rsidRPr="00144851">
        <w:rPr>
          <w:rFonts w:ascii="Times New Roman" w:hAnsi="Times New Roman"/>
          <w:noProof w:val="0"/>
          <w:sz w:val="20"/>
        </w:rPr>
        <w:t>s, cyclones and electrostatic precipitators.</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repair damaged </w:t>
      </w:r>
      <w:r w:rsidR="00E07E38" w:rsidRPr="00144851">
        <w:rPr>
          <w:rFonts w:ascii="Times New Roman" w:hAnsi="Times New Roman"/>
          <w:noProof w:val="0"/>
          <w:sz w:val="20"/>
        </w:rPr>
        <w:t>refractory and boiler casing.</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remove loose scale, sand and other debris from the </w:t>
      </w:r>
      <w:r w:rsidR="00207DFC" w:rsidRPr="00144851">
        <w:rPr>
          <w:rFonts w:ascii="Times New Roman" w:hAnsi="Times New Roman"/>
          <w:noProof w:val="0"/>
          <w:sz w:val="20"/>
        </w:rPr>
        <w:t>outer surface</w:t>
      </w:r>
      <w:r w:rsidRPr="00144851">
        <w:rPr>
          <w:rFonts w:ascii="Times New Roman" w:hAnsi="Times New Roman"/>
          <w:noProof w:val="0"/>
          <w:sz w:val="20"/>
        </w:rPr>
        <w:t>s</w:t>
      </w:r>
      <w:r w:rsidR="00E07E38" w:rsidRPr="00144851">
        <w:rPr>
          <w:rFonts w:ascii="Times New Roman" w:hAnsi="Times New Roman"/>
          <w:noProof w:val="0"/>
          <w:sz w:val="20"/>
        </w:rPr>
        <w:t xml:space="preserve"> of </w:t>
      </w:r>
      <w:r w:rsidR="00207DFC" w:rsidRPr="00144851">
        <w:rPr>
          <w:rFonts w:ascii="Times New Roman" w:hAnsi="Times New Roman"/>
          <w:noProof w:val="0"/>
          <w:sz w:val="20"/>
        </w:rPr>
        <w:t xml:space="preserve">the </w:t>
      </w:r>
      <w:r w:rsidR="00E07E38" w:rsidRPr="00144851">
        <w:rPr>
          <w:rFonts w:ascii="Times New Roman" w:hAnsi="Times New Roman"/>
          <w:noProof w:val="0"/>
          <w:sz w:val="20"/>
        </w:rPr>
        <w:t xml:space="preserve">boiler </w:t>
      </w:r>
      <w:r w:rsidRPr="00144851">
        <w:rPr>
          <w:rFonts w:ascii="Times New Roman" w:hAnsi="Times New Roman"/>
          <w:noProof w:val="0"/>
          <w:sz w:val="20"/>
        </w:rPr>
        <w:t xml:space="preserve">and </w:t>
      </w:r>
      <w:r w:rsidR="00E07E38" w:rsidRPr="00144851">
        <w:rPr>
          <w:rFonts w:ascii="Times New Roman" w:hAnsi="Times New Roman"/>
          <w:noProof w:val="0"/>
          <w:sz w:val="20"/>
        </w:rPr>
        <w:t>tubes.</w:t>
      </w:r>
    </w:p>
    <w:p w:rsidR="000171BF" w:rsidRPr="00144851" w:rsidRDefault="000171BF"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and clean settling chambers in the furnace, breeching and heat traps, where cinders can accumulate.</w:t>
      </w:r>
    </w:p>
    <w:p w:rsidR="000171BF"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b</w:t>
      </w:r>
      <w:r w:rsidR="00E07E38" w:rsidRPr="00144851">
        <w:rPr>
          <w:rFonts w:ascii="Times New Roman" w:hAnsi="Times New Roman"/>
          <w:noProof w:val="0"/>
          <w:sz w:val="20"/>
        </w:rPr>
        <w:t xml:space="preserve">oiler grates </w:t>
      </w:r>
      <w:r w:rsidRPr="00144851">
        <w:rPr>
          <w:rFonts w:ascii="Times New Roman" w:hAnsi="Times New Roman"/>
          <w:noProof w:val="0"/>
          <w:sz w:val="20"/>
        </w:rPr>
        <w:t xml:space="preserve">to ensure proper </w:t>
      </w:r>
      <w:r w:rsidR="00E07E38" w:rsidRPr="00144851">
        <w:rPr>
          <w:rFonts w:ascii="Times New Roman" w:hAnsi="Times New Roman"/>
          <w:noProof w:val="0"/>
          <w:sz w:val="20"/>
        </w:rPr>
        <w:t>mechanical operation</w:t>
      </w:r>
      <w:r w:rsidR="000171BF" w:rsidRPr="00144851">
        <w:rPr>
          <w:rFonts w:ascii="Times New Roman" w:hAnsi="Times New Roman"/>
          <w:noProof w:val="0"/>
          <w:sz w:val="20"/>
        </w:rPr>
        <w:t xml:space="preserve"> and maintain open air holes.</w:t>
      </w:r>
    </w:p>
    <w:p w:rsidR="000171BF" w:rsidRPr="00144851" w:rsidRDefault="000171BF"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Inspect, repair and adjust the combustion control settings and linkages to fuel feeders, forced-draft fan and over-fire air fan.</w:t>
      </w:r>
    </w:p>
    <w:p w:rsidR="000171BF" w:rsidRPr="00144851" w:rsidRDefault="000171BF"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all oil burners and related oil piping, atomizing steam and air registers.</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w:t>
      </w:r>
      <w:r w:rsidR="00E07E38" w:rsidRPr="00144851">
        <w:rPr>
          <w:rFonts w:ascii="Times New Roman" w:hAnsi="Times New Roman"/>
          <w:noProof w:val="0"/>
          <w:sz w:val="20"/>
        </w:rPr>
        <w:t>ll fans</w:t>
      </w:r>
      <w:r w:rsidRPr="00144851">
        <w:rPr>
          <w:rFonts w:ascii="Times New Roman" w:hAnsi="Times New Roman"/>
          <w:noProof w:val="0"/>
          <w:sz w:val="20"/>
        </w:rPr>
        <w:t>, blades and motors</w:t>
      </w:r>
      <w:r w:rsidR="00E07E38" w:rsidRPr="00144851">
        <w:rPr>
          <w:rFonts w:ascii="Times New Roman" w:hAnsi="Times New Roman"/>
          <w:noProof w:val="0"/>
          <w:sz w:val="20"/>
        </w:rPr>
        <w:t>.</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and repair a</w:t>
      </w:r>
      <w:r w:rsidR="00E07E38" w:rsidRPr="00144851">
        <w:rPr>
          <w:rFonts w:ascii="Times New Roman" w:hAnsi="Times New Roman"/>
          <w:noProof w:val="0"/>
          <w:sz w:val="20"/>
        </w:rPr>
        <w:t>ll pumps and pump drives.</w:t>
      </w:r>
    </w:p>
    <w:p w:rsidR="00E07E38" w:rsidRPr="00144851" w:rsidRDefault="009A757E"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Identify t</w:t>
      </w:r>
      <w:r w:rsidR="00E07E38" w:rsidRPr="00144851">
        <w:rPr>
          <w:rFonts w:ascii="Times New Roman" w:hAnsi="Times New Roman"/>
          <w:noProof w:val="0"/>
          <w:sz w:val="20"/>
        </w:rPr>
        <w:t xml:space="preserve">he </w:t>
      </w:r>
      <w:r w:rsidRPr="00144851">
        <w:rPr>
          <w:rFonts w:ascii="Times New Roman" w:hAnsi="Times New Roman"/>
          <w:noProof w:val="0"/>
          <w:sz w:val="20"/>
        </w:rPr>
        <w:t xml:space="preserve">proper </w:t>
      </w:r>
      <w:r w:rsidR="00E07E38" w:rsidRPr="00144851">
        <w:rPr>
          <w:rFonts w:ascii="Times New Roman" w:hAnsi="Times New Roman"/>
          <w:noProof w:val="0"/>
          <w:sz w:val="20"/>
        </w:rPr>
        <w:t xml:space="preserve">skirt level of </w:t>
      </w:r>
      <w:r w:rsidR="00207DFC" w:rsidRPr="00144851">
        <w:rPr>
          <w:rFonts w:ascii="Times New Roman" w:hAnsi="Times New Roman"/>
          <w:noProof w:val="0"/>
          <w:sz w:val="20"/>
        </w:rPr>
        <w:t>each wet impingement</w:t>
      </w:r>
      <w:r w:rsidR="00E07E38" w:rsidRPr="00144851">
        <w:rPr>
          <w:rFonts w:ascii="Times New Roman" w:hAnsi="Times New Roman"/>
          <w:noProof w:val="0"/>
          <w:sz w:val="20"/>
        </w:rPr>
        <w:t xml:space="preserve"> scrubber and mark </w:t>
      </w:r>
      <w:r w:rsidR="00DD62A7" w:rsidRPr="00144851">
        <w:rPr>
          <w:rFonts w:ascii="Times New Roman" w:hAnsi="Times New Roman"/>
          <w:noProof w:val="0"/>
          <w:sz w:val="20"/>
        </w:rPr>
        <w:t xml:space="preserve">a permanent reference </w:t>
      </w:r>
      <w:r w:rsidR="00E07E38" w:rsidRPr="00144851">
        <w:rPr>
          <w:rFonts w:ascii="Times New Roman" w:hAnsi="Times New Roman"/>
          <w:noProof w:val="0"/>
          <w:sz w:val="20"/>
        </w:rPr>
        <w:t>on the outside.</w:t>
      </w:r>
    </w:p>
    <w:p w:rsidR="00E07E38"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w:t>
      </w:r>
      <w:r w:rsidR="00DE25EE" w:rsidRPr="00144851">
        <w:rPr>
          <w:rFonts w:ascii="Times New Roman" w:hAnsi="Times New Roman"/>
          <w:noProof w:val="0"/>
          <w:sz w:val="20"/>
        </w:rPr>
        <w:t>nspect, calibrate and repair a</w:t>
      </w:r>
      <w:r w:rsidR="00E07E38" w:rsidRPr="00144851">
        <w:rPr>
          <w:rFonts w:ascii="Times New Roman" w:hAnsi="Times New Roman"/>
          <w:noProof w:val="0"/>
          <w:sz w:val="20"/>
        </w:rPr>
        <w:t>ll instruments for boiler operation and control</w:t>
      </w:r>
      <w:r w:rsidR="00DE25EE" w:rsidRPr="00144851">
        <w:rPr>
          <w:rFonts w:ascii="Times New Roman" w:hAnsi="Times New Roman"/>
          <w:noProof w:val="0"/>
          <w:sz w:val="20"/>
        </w:rPr>
        <w:t xml:space="preserve">, </w:t>
      </w:r>
      <w:r w:rsidR="00E07E38" w:rsidRPr="00144851">
        <w:rPr>
          <w:rFonts w:ascii="Times New Roman" w:hAnsi="Times New Roman"/>
          <w:noProof w:val="0"/>
          <w:sz w:val="20"/>
        </w:rPr>
        <w:t xml:space="preserve">including </w:t>
      </w:r>
      <w:r w:rsidRPr="00144851">
        <w:rPr>
          <w:rFonts w:ascii="Times New Roman" w:hAnsi="Times New Roman"/>
          <w:noProof w:val="0"/>
          <w:sz w:val="20"/>
        </w:rPr>
        <w:t xml:space="preserve">the </w:t>
      </w:r>
      <w:r w:rsidR="00E07E38" w:rsidRPr="00144851">
        <w:rPr>
          <w:rFonts w:ascii="Times New Roman" w:hAnsi="Times New Roman"/>
          <w:noProof w:val="0"/>
          <w:sz w:val="20"/>
        </w:rPr>
        <w:t xml:space="preserve">oxygen and carbon monoxide process monitors.  </w:t>
      </w:r>
      <w:r w:rsidR="00DE25EE" w:rsidRPr="00144851">
        <w:rPr>
          <w:rFonts w:ascii="Times New Roman" w:hAnsi="Times New Roman"/>
          <w:noProof w:val="0"/>
          <w:sz w:val="20"/>
        </w:rPr>
        <w:t>R</w:t>
      </w:r>
      <w:r w:rsidR="00E07E38" w:rsidRPr="00144851">
        <w:rPr>
          <w:rFonts w:ascii="Times New Roman" w:hAnsi="Times New Roman"/>
          <w:noProof w:val="0"/>
          <w:sz w:val="20"/>
        </w:rPr>
        <w:t>ecord</w:t>
      </w:r>
      <w:r w:rsidR="00DE25EE" w:rsidRPr="00144851">
        <w:rPr>
          <w:rFonts w:ascii="Times New Roman" w:hAnsi="Times New Roman"/>
          <w:noProof w:val="0"/>
          <w:sz w:val="20"/>
        </w:rPr>
        <w:t xml:space="preserve"> in repair log </w:t>
      </w:r>
      <w:r w:rsidR="000171BF" w:rsidRPr="00144851">
        <w:rPr>
          <w:rFonts w:ascii="Times New Roman" w:hAnsi="Times New Roman"/>
          <w:noProof w:val="0"/>
          <w:sz w:val="20"/>
        </w:rPr>
        <w:t xml:space="preserve">at </w:t>
      </w:r>
      <w:r w:rsidR="00DE25EE" w:rsidRPr="00144851">
        <w:rPr>
          <w:rFonts w:ascii="Times New Roman" w:hAnsi="Times New Roman"/>
          <w:noProof w:val="0"/>
          <w:sz w:val="20"/>
        </w:rPr>
        <w:t>the instrument shop</w:t>
      </w:r>
      <w:r w:rsidR="00E07E38" w:rsidRPr="00144851">
        <w:rPr>
          <w:rFonts w:ascii="Times New Roman" w:hAnsi="Times New Roman"/>
          <w:noProof w:val="0"/>
          <w:sz w:val="20"/>
        </w:rPr>
        <w:t>.</w:t>
      </w:r>
    </w:p>
    <w:p w:rsidR="00E07E38" w:rsidRPr="00144851" w:rsidRDefault="0091048B" w:rsidP="001669E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Operational Practices</w:t>
      </w:r>
      <w:r w:rsidR="001669EB" w:rsidRPr="00144851">
        <w:rPr>
          <w:rFonts w:ascii="Times New Roman" w:hAnsi="Times New Roman"/>
          <w:noProof w:val="0"/>
          <w:sz w:val="20"/>
        </w:rPr>
        <w:t>:  The permittee shall employ the following practices to promote good combustion.</w:t>
      </w:r>
    </w:p>
    <w:p w:rsidR="000171BF" w:rsidRPr="00144851" w:rsidRDefault="000171BF"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the bagasse moisture content at 55% by weight or less.</w:t>
      </w:r>
    </w:p>
    <w:p w:rsidR="00E07E38" w:rsidRPr="00144851" w:rsidRDefault="0091048B" w:rsidP="002B31C6">
      <w:pPr>
        <w:pStyle w:val="OmniPage1028"/>
        <w:widowControl w:val="0"/>
        <w:numPr>
          <w:ilvl w:val="0"/>
          <w:numId w:val="48"/>
        </w:numPr>
        <w:tabs>
          <w:tab w:val="clear" w:pos="91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fuel and excess air in the proper proportion to promote good combustion and minimize smoke.</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lastRenderedPageBreak/>
        <w:t>As necessary, remove ash present in the ash pits to minimize any furnace draft upsets.</w:t>
      </w:r>
    </w:p>
    <w:p w:rsidR="004343D1"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For boilers with stacks monitored by closed circuit television, view the stack video monitor at least once per hour to visually confirm that good combustion is occurring.  If an abnormal plume is observed, take corrective actions.</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Several times per shift, examine the boiler grates and feeders for proper distribution and adjust operations as necessary.</w:t>
      </w:r>
    </w:p>
    <w:p w:rsidR="00E07E38" w:rsidRPr="00144851" w:rsidRDefault="00E07E38"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shift, </w:t>
      </w:r>
      <w:r w:rsidR="000171BF" w:rsidRPr="00144851">
        <w:rPr>
          <w:rFonts w:ascii="Times New Roman" w:hAnsi="Times New Roman"/>
          <w:noProof w:val="0"/>
          <w:sz w:val="20"/>
        </w:rPr>
        <w:t xml:space="preserve">inspect and clean </w:t>
      </w:r>
      <w:r w:rsidRPr="00144851">
        <w:rPr>
          <w:rFonts w:ascii="Times New Roman" w:hAnsi="Times New Roman"/>
          <w:noProof w:val="0"/>
          <w:sz w:val="20"/>
        </w:rPr>
        <w:t>burners</w:t>
      </w:r>
      <w:r w:rsidR="000171BF" w:rsidRPr="00144851">
        <w:rPr>
          <w:rFonts w:ascii="Times New Roman" w:hAnsi="Times New Roman"/>
          <w:noProof w:val="0"/>
          <w:sz w:val="20"/>
        </w:rPr>
        <w:t xml:space="preserve"> if needed.</w:t>
      </w:r>
    </w:p>
    <w:p w:rsidR="0091048B" w:rsidRPr="00144851" w:rsidRDefault="0091048B"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w:t>
      </w:r>
      <w:r w:rsidR="00A67E0B" w:rsidRPr="00144851">
        <w:rPr>
          <w:rFonts w:ascii="Times New Roman" w:hAnsi="Times New Roman"/>
          <w:noProof w:val="0"/>
          <w:sz w:val="20"/>
        </w:rPr>
        <w:t>day</w:t>
      </w:r>
      <w:r w:rsidRPr="00144851">
        <w:rPr>
          <w:rFonts w:ascii="Times New Roman" w:hAnsi="Times New Roman"/>
          <w:noProof w:val="0"/>
          <w:sz w:val="20"/>
        </w:rPr>
        <w:t xml:space="preserve">, conduct a walk-around inspection </w:t>
      </w:r>
      <w:r w:rsidR="000171BF" w:rsidRPr="00144851">
        <w:rPr>
          <w:rFonts w:ascii="Times New Roman" w:hAnsi="Times New Roman"/>
          <w:noProof w:val="0"/>
          <w:sz w:val="20"/>
        </w:rPr>
        <w:t>of the boiler area</w:t>
      </w:r>
      <w:r w:rsidR="00B86142" w:rsidRPr="00144851">
        <w:rPr>
          <w:rFonts w:ascii="Times New Roman" w:hAnsi="Times New Roman"/>
          <w:noProof w:val="0"/>
          <w:sz w:val="20"/>
        </w:rPr>
        <w:t xml:space="preserve"> and c</w:t>
      </w:r>
      <w:r w:rsidR="000171BF" w:rsidRPr="00144851">
        <w:rPr>
          <w:rFonts w:ascii="Times New Roman" w:hAnsi="Times New Roman"/>
          <w:noProof w:val="0"/>
          <w:sz w:val="20"/>
        </w:rPr>
        <w:t xml:space="preserve">heck </w:t>
      </w:r>
      <w:r w:rsidR="00B86142" w:rsidRPr="00144851">
        <w:rPr>
          <w:rFonts w:ascii="Times New Roman" w:hAnsi="Times New Roman"/>
          <w:noProof w:val="0"/>
          <w:sz w:val="20"/>
        </w:rPr>
        <w:t>the following</w:t>
      </w:r>
      <w:r w:rsidRPr="00144851">
        <w:rPr>
          <w:rFonts w:ascii="Times New Roman" w:hAnsi="Times New Roman"/>
          <w:noProof w:val="0"/>
          <w:sz w:val="20"/>
        </w:rPr>
        <w:t xml:space="preserve">:  </w:t>
      </w:r>
      <w:r w:rsidR="004343D1" w:rsidRPr="00144851">
        <w:rPr>
          <w:rFonts w:ascii="Times New Roman" w:hAnsi="Times New Roman"/>
          <w:noProof w:val="0"/>
          <w:sz w:val="20"/>
        </w:rPr>
        <w:t>fans, pumps, casing</w:t>
      </w:r>
      <w:r w:rsidR="00B86142" w:rsidRPr="00144851">
        <w:rPr>
          <w:rFonts w:ascii="Times New Roman" w:hAnsi="Times New Roman"/>
          <w:noProof w:val="0"/>
          <w:sz w:val="20"/>
        </w:rPr>
        <w:t>s</w:t>
      </w:r>
      <w:r w:rsidR="004343D1" w:rsidRPr="00144851">
        <w:rPr>
          <w:rFonts w:ascii="Times New Roman" w:hAnsi="Times New Roman"/>
          <w:noProof w:val="0"/>
          <w:sz w:val="20"/>
        </w:rPr>
        <w:t>, duct</w:t>
      </w:r>
      <w:r w:rsidR="00B86142" w:rsidRPr="00144851">
        <w:rPr>
          <w:rFonts w:ascii="Times New Roman" w:hAnsi="Times New Roman"/>
          <w:noProof w:val="0"/>
          <w:sz w:val="20"/>
        </w:rPr>
        <w:t>work,</w:t>
      </w:r>
      <w:r w:rsidR="004343D1" w:rsidRPr="00144851">
        <w:rPr>
          <w:rFonts w:ascii="Times New Roman" w:hAnsi="Times New Roman"/>
          <w:noProof w:val="0"/>
          <w:sz w:val="20"/>
        </w:rPr>
        <w:t xml:space="preserve"> </w:t>
      </w:r>
      <w:r w:rsidRPr="00144851">
        <w:rPr>
          <w:rFonts w:ascii="Times New Roman" w:hAnsi="Times New Roman"/>
          <w:noProof w:val="0"/>
          <w:sz w:val="20"/>
        </w:rPr>
        <w:t>scrubber</w:t>
      </w:r>
      <w:r w:rsidR="00B86142" w:rsidRPr="00144851">
        <w:rPr>
          <w:rFonts w:ascii="Times New Roman" w:hAnsi="Times New Roman"/>
          <w:noProof w:val="0"/>
          <w:sz w:val="20"/>
        </w:rPr>
        <w:t>s and ESP</w:t>
      </w:r>
      <w:r w:rsidRPr="00144851">
        <w:rPr>
          <w:rFonts w:ascii="Times New Roman" w:hAnsi="Times New Roman"/>
          <w:noProof w:val="0"/>
          <w:sz w:val="20"/>
        </w:rPr>
        <w:t>.</w:t>
      </w:r>
      <w:r w:rsidR="00B86142" w:rsidRPr="00144851">
        <w:rPr>
          <w:rFonts w:ascii="Times New Roman" w:hAnsi="Times New Roman"/>
          <w:noProof w:val="0"/>
          <w:sz w:val="20"/>
        </w:rPr>
        <w:t xml:space="preserve">  Repair as needed and in coordination with the production schedule.</w:t>
      </w:r>
    </w:p>
    <w:p w:rsidR="00E07E38" w:rsidRPr="00144851" w:rsidRDefault="00A67E0B" w:rsidP="001669EB">
      <w:pPr>
        <w:pStyle w:val="OmniPage770"/>
        <w:widowControl w:val="0"/>
        <w:numPr>
          <w:ilvl w:val="1"/>
          <w:numId w:val="2"/>
        </w:numPr>
        <w:tabs>
          <w:tab w:val="clear" w:pos="732"/>
        </w:tabs>
        <w:spacing w:after="120" w:line="240" w:lineRule="auto"/>
        <w:ind w:right="0"/>
        <w:rPr>
          <w:rFonts w:ascii="Times New Roman" w:hAnsi="Times New Roman"/>
          <w:iCs/>
          <w:sz w:val="20"/>
        </w:rPr>
      </w:pPr>
      <w:r w:rsidRPr="00144851">
        <w:rPr>
          <w:rFonts w:ascii="Times New Roman" w:hAnsi="Times New Roman"/>
          <w:iCs/>
          <w:sz w:val="20"/>
          <w:u w:val="single"/>
        </w:rPr>
        <w:t>Outage Inspections</w:t>
      </w:r>
      <w:r w:rsidR="00621A07" w:rsidRPr="00144851">
        <w:rPr>
          <w:rFonts w:ascii="Times New Roman" w:hAnsi="Times New Roman"/>
          <w:iCs/>
          <w:sz w:val="20"/>
          <w:u w:val="single"/>
        </w:rPr>
        <w:t xml:space="preserve"> and Repair</w:t>
      </w:r>
      <w:r w:rsidR="001669EB" w:rsidRPr="00144851">
        <w:rPr>
          <w:rFonts w:ascii="Times New Roman" w:hAnsi="Times New Roman"/>
          <w:iCs/>
          <w:sz w:val="20"/>
        </w:rPr>
        <w:t>:  During an outage, t</w:t>
      </w:r>
      <w:r w:rsidR="001669EB" w:rsidRPr="00144851">
        <w:rPr>
          <w:rFonts w:ascii="Times New Roman" w:hAnsi="Times New Roman"/>
          <w:noProof w:val="0"/>
          <w:sz w:val="20"/>
        </w:rPr>
        <w:t xml:space="preserve">he permittee shall </w:t>
      </w:r>
      <w:r w:rsidR="00C92EBF" w:rsidRPr="00144851">
        <w:rPr>
          <w:rFonts w:ascii="Times New Roman" w:hAnsi="Times New Roman"/>
          <w:noProof w:val="0"/>
          <w:sz w:val="20"/>
        </w:rPr>
        <w:t xml:space="preserve">conduct </w:t>
      </w:r>
      <w:r w:rsidR="001669EB" w:rsidRPr="00144851">
        <w:rPr>
          <w:rFonts w:ascii="Times New Roman" w:hAnsi="Times New Roman"/>
          <w:noProof w:val="0"/>
          <w:sz w:val="20"/>
        </w:rPr>
        <w:t xml:space="preserve">the following </w:t>
      </w:r>
      <w:r w:rsidR="00C92EBF" w:rsidRPr="00144851">
        <w:rPr>
          <w:rFonts w:ascii="Times New Roman" w:hAnsi="Times New Roman"/>
          <w:noProof w:val="0"/>
          <w:sz w:val="20"/>
        </w:rPr>
        <w:t>activities.</w:t>
      </w:r>
    </w:p>
    <w:p w:rsidR="00E07E38" w:rsidRPr="00144851" w:rsidRDefault="00A67E0B"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When the furnace has cooled, inspect the interior components of the fuel grates</w:t>
      </w:r>
      <w:r w:rsidR="00B86142" w:rsidRPr="00144851">
        <w:rPr>
          <w:rFonts w:ascii="Times New Roman" w:hAnsi="Times New Roman"/>
          <w:iCs/>
          <w:sz w:val="20"/>
        </w:rPr>
        <w:t xml:space="preserve">.  As necessary, </w:t>
      </w:r>
      <w:r w:rsidRPr="00144851">
        <w:rPr>
          <w:rFonts w:ascii="Times New Roman" w:hAnsi="Times New Roman"/>
          <w:iCs/>
          <w:sz w:val="20"/>
        </w:rPr>
        <w:t>remove slag or other o</w:t>
      </w:r>
      <w:r w:rsidR="00B86142" w:rsidRPr="00144851">
        <w:rPr>
          <w:rFonts w:ascii="Times New Roman" w:hAnsi="Times New Roman"/>
          <w:iCs/>
          <w:sz w:val="20"/>
        </w:rPr>
        <w:t>b</w:t>
      </w:r>
      <w:r w:rsidRPr="00144851">
        <w:rPr>
          <w:rFonts w:ascii="Times New Roman" w:hAnsi="Times New Roman"/>
          <w:iCs/>
          <w:sz w:val="20"/>
        </w:rPr>
        <w:t>structions to the openings</w:t>
      </w:r>
      <w:r w:rsidR="00DE25EE" w:rsidRPr="00144851">
        <w:rPr>
          <w:rFonts w:ascii="Times New Roman" w:hAnsi="Times New Roman"/>
          <w:iCs/>
          <w:sz w:val="20"/>
        </w:rPr>
        <w:t xml:space="preserve"> of the grates.</w:t>
      </w:r>
    </w:p>
    <w:p w:rsidR="00DE25EE" w:rsidRPr="00144851" w:rsidRDefault="00E96AA1"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I</w:t>
      </w:r>
      <w:r w:rsidR="00DE25EE" w:rsidRPr="00144851">
        <w:rPr>
          <w:rFonts w:ascii="Times New Roman" w:hAnsi="Times New Roman"/>
          <w:iCs/>
          <w:sz w:val="20"/>
        </w:rPr>
        <w:t xml:space="preserve">nspect the boiler </w:t>
      </w:r>
      <w:r w:rsidRPr="00144851">
        <w:rPr>
          <w:rFonts w:ascii="Times New Roman" w:hAnsi="Times New Roman"/>
          <w:iCs/>
          <w:sz w:val="20"/>
        </w:rPr>
        <w:t xml:space="preserve">periodically </w:t>
      </w:r>
      <w:r w:rsidR="00CA1459" w:rsidRPr="00144851">
        <w:rPr>
          <w:rFonts w:ascii="Times New Roman" w:hAnsi="Times New Roman"/>
          <w:iCs/>
          <w:sz w:val="20"/>
        </w:rPr>
        <w:t xml:space="preserve">for </w:t>
      </w:r>
      <w:r w:rsidR="00DE25EE" w:rsidRPr="00144851">
        <w:rPr>
          <w:rFonts w:ascii="Times New Roman" w:hAnsi="Times New Roman"/>
          <w:iCs/>
          <w:sz w:val="20"/>
        </w:rPr>
        <w:t>any air leaks that may have developed between the grates and walls of the boiler.  Repair as needed.</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 xml:space="preserve">As operating experience dictates for the stoker boilers, stop the stoker and forced draft fan and clean out the siftings chambers.  After </w:t>
      </w:r>
      <w:r w:rsidR="00036098" w:rsidRPr="00144851">
        <w:rPr>
          <w:rFonts w:ascii="Times New Roman" w:hAnsi="Times New Roman"/>
          <w:iCs/>
          <w:sz w:val="20"/>
        </w:rPr>
        <w:t xml:space="preserve">the </w:t>
      </w:r>
      <w:r w:rsidRPr="00144851">
        <w:rPr>
          <w:rFonts w:ascii="Times New Roman" w:hAnsi="Times New Roman"/>
          <w:iCs/>
          <w:sz w:val="20"/>
        </w:rPr>
        <w:t>siftings ch</w:t>
      </w:r>
      <w:r w:rsidR="00036098" w:rsidRPr="00144851">
        <w:rPr>
          <w:rFonts w:ascii="Times New Roman" w:hAnsi="Times New Roman"/>
          <w:iCs/>
          <w:sz w:val="20"/>
        </w:rPr>
        <w:t>a</w:t>
      </w:r>
      <w:r w:rsidRPr="00144851">
        <w:rPr>
          <w:rFonts w:ascii="Times New Roman" w:hAnsi="Times New Roman"/>
          <w:iCs/>
          <w:sz w:val="20"/>
        </w:rPr>
        <w:t>mber</w:t>
      </w:r>
      <w:r w:rsidR="00036098" w:rsidRPr="00144851">
        <w:rPr>
          <w:rFonts w:ascii="Times New Roman" w:hAnsi="Times New Roman"/>
          <w:iCs/>
          <w:sz w:val="20"/>
        </w:rPr>
        <w:t>s</w:t>
      </w:r>
      <w:r w:rsidRPr="00144851">
        <w:rPr>
          <w:rFonts w:ascii="Times New Roman" w:hAnsi="Times New Roman"/>
          <w:iCs/>
          <w:sz w:val="20"/>
        </w:rPr>
        <w:t xml:space="preserve"> have been cleaned, tightly close and seal all ac</w:t>
      </w:r>
      <w:r w:rsidR="00036098" w:rsidRPr="00144851">
        <w:rPr>
          <w:rFonts w:ascii="Times New Roman" w:hAnsi="Times New Roman"/>
          <w:iCs/>
          <w:sz w:val="20"/>
        </w:rPr>
        <w:t>ces</w:t>
      </w:r>
      <w:r w:rsidRPr="00144851">
        <w:rPr>
          <w:rFonts w:ascii="Times New Roman" w:hAnsi="Times New Roman"/>
          <w:iCs/>
          <w:sz w:val="20"/>
        </w:rPr>
        <w:t>s doors and ash pit doors to minimize air leakage.</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all air swept fuel distributor spout joints and between spout and mounting plate for air leaks.  Repair as necessary.</w:t>
      </w:r>
    </w:p>
    <w:p w:rsidR="00BD74B1" w:rsidRPr="00DC7E93" w:rsidRDefault="00DE25EE" w:rsidP="00E101D7">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the air supply duct, damper housing and fuel distributor spouts for a</w:t>
      </w:r>
      <w:r w:rsidR="00DC7E93">
        <w:rPr>
          <w:rFonts w:ascii="Times New Roman" w:hAnsi="Times New Roman"/>
          <w:iCs/>
          <w:sz w:val="20"/>
        </w:rPr>
        <w:t>ir leaks.  Repair as necessary.</w:t>
      </w:r>
    </w:p>
    <w:p w:rsidR="00BD74B1" w:rsidRPr="00144851" w:rsidRDefault="00BD74B1" w:rsidP="00E101D7">
      <w:pPr>
        <w:widowControl w:val="0"/>
        <w:spacing w:after="120"/>
        <w:rPr>
          <w:sz w:val="20"/>
        </w:rPr>
        <w:sectPr w:rsidR="00BD74B1" w:rsidRPr="00144851" w:rsidSect="00DD4B9D">
          <w:headerReference w:type="even" r:id="rId26"/>
          <w:headerReference w:type="default" r:id="rId27"/>
          <w:footerReference w:type="default" r:id="rId28"/>
          <w:headerReference w:type="first" r:id="rId29"/>
          <w:pgSz w:w="12240" w:h="15840" w:code="1"/>
          <w:pgMar w:top="720" w:right="1008" w:bottom="720" w:left="1008" w:header="720" w:footer="576" w:gutter="0"/>
          <w:paperSrc w:first="7" w:other="7"/>
          <w:pgNumType w:start="1"/>
          <w:cols w:space="720"/>
        </w:sectPr>
      </w:pP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b/>
          <w:sz w:val="20"/>
        </w:rPr>
      </w:pPr>
      <w:r w:rsidRPr="00144851">
        <w:rPr>
          <w:b/>
          <w:sz w:val="20"/>
        </w:rPr>
        <w:lastRenderedPageBreak/>
        <w:t>General Training</w:t>
      </w: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sz w:val="20"/>
        </w:rPr>
      </w:pPr>
      <w:r w:rsidRPr="00144851">
        <w:rPr>
          <w:sz w:val="20"/>
        </w:rPr>
        <w:t xml:space="preserve">All operators and supervisors shall be properly trained to operate and maintain </w:t>
      </w:r>
      <w:r w:rsidR="001F2D71" w:rsidRPr="00144851">
        <w:rPr>
          <w:sz w:val="20"/>
        </w:rPr>
        <w:t>the boilers</w:t>
      </w:r>
      <w:r w:rsidRPr="00144851">
        <w:rPr>
          <w:sz w:val="20"/>
        </w:rPr>
        <w:t xml:space="preserve"> as well as the pollution control and monitoring equipment in accordance with the guidelines and procedures established by the manufacturer</w:t>
      </w:r>
      <w:r w:rsidR="001F2D71" w:rsidRPr="00144851">
        <w:rPr>
          <w:sz w:val="20"/>
        </w:rPr>
        <w:t xml:space="preserve"> and permit</w:t>
      </w:r>
      <w:r w:rsidRPr="00144851">
        <w:rPr>
          <w:sz w:val="20"/>
        </w:rPr>
        <w:t>.  The training shall include good operating practices as well as methods of minimizing excess emissions during startups, shutdowns, and malfunctions.</w:t>
      </w:r>
      <w:r w:rsidR="00B96F44" w:rsidRPr="00144851">
        <w:rPr>
          <w:sz w:val="20"/>
        </w:rPr>
        <w:t xml:space="preserve">  [Rule 62-210.700(1), F.A.C.]</w:t>
      </w:r>
    </w:p>
    <w:p w:rsidR="00E07E38" w:rsidRPr="00144851" w:rsidRDefault="00E07E38" w:rsidP="00716EE1">
      <w:pPr>
        <w:widowControl w:val="0"/>
        <w:tabs>
          <w:tab w:val="center" w:pos="4500"/>
        </w:tabs>
        <w:spacing w:before="120" w:after="120"/>
        <w:rPr>
          <w:b/>
          <w:sz w:val="20"/>
        </w:rPr>
      </w:pPr>
      <w:r w:rsidRPr="00144851">
        <w:rPr>
          <w:b/>
          <w:sz w:val="20"/>
        </w:rPr>
        <w:t>Boilers 1 and 2</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feedwater pump and check for proper lubrication and vibration.</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Fill the scrubber to the proper starting level and set the delta P controller to “+8”.</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Open the spray nozzles in the scrubber and start water flow to the scrubber.</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Align fuel, gas and air atomization lines.  </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fuel pump and burner sequence.</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w:t>
      </w:r>
      <w:r w:rsidR="000F20C5" w:rsidRPr="00144851">
        <w:rPr>
          <w:sz w:val="20"/>
        </w:rPr>
        <w:t>-</w:t>
      </w:r>
      <w:r w:rsidRPr="00144851">
        <w:rPr>
          <w:sz w:val="20"/>
        </w:rPr>
        <w:t>grate air to 50%.  Start feeding bagasse.</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2B31C6">
      <w:pPr>
        <w:widowControl w:val="0"/>
        <w:numPr>
          <w:ilvl w:val="0"/>
          <w:numId w:val="53"/>
        </w:numPr>
        <w:tabs>
          <w:tab w:val="left" w:pos="1555"/>
          <w:tab w:val="left" w:pos="2044"/>
          <w:tab w:val="left" w:pos="2520"/>
          <w:tab w:val="left" w:pos="2995"/>
        </w:tabs>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Check the boiler and scrubber water levels, circulating pump and spray nozzles, and make sure they are functioning properly.</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Light a burner</w:t>
      </w:r>
      <w:r w:rsidR="00B025E2" w:rsidRPr="00144851">
        <w:rPr>
          <w:sz w:val="20"/>
        </w:rPr>
        <w:t xml:space="preserve"> and </w:t>
      </w:r>
      <w:r w:rsidRPr="00144851">
        <w:rPr>
          <w:sz w:val="20"/>
        </w:rPr>
        <w:t>continue to observe the stack plume, water levels, and burners.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As the carbonaceous fuel fire gets hot enough to meet steam demand, reduce the burner fuel until it can be turned off.  Adjust the dampers to get optimum carbonaceous fuel firing.</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Continue to observe the stack plume, scrubber water level, and carbonaceous fuel level, making adjustments to drafts, fuel, and scrubber to maintain optimum operating conditions.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Normally, a warm startup requires 1 to 5 hours, depending on boiler operating conditions.</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Shutdown</w:t>
      </w:r>
    </w:p>
    <w:p w:rsidR="00182FFC"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E07E38"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After all bagasse has burned out of the furnace, s</w:t>
      </w:r>
      <w:r w:rsidR="00E07E38" w:rsidRPr="00144851">
        <w:rPr>
          <w:sz w:val="20"/>
        </w:rPr>
        <w:t xml:space="preserve">top </w:t>
      </w:r>
      <w:r w:rsidRPr="00144851">
        <w:rPr>
          <w:sz w:val="20"/>
        </w:rPr>
        <w:t xml:space="preserve">the over-fire air fans, stop the distributor air fans, and adjust the over-fire air to 50%. </w:t>
      </w:r>
    </w:p>
    <w:p w:rsidR="00E07E38" w:rsidRPr="00144851" w:rsidRDefault="00E07E38"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82FFC" w:rsidRPr="00144851" w:rsidRDefault="00182FFC"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furnace</w:t>
      </w:r>
      <w:r w:rsidRPr="00144851">
        <w:rPr>
          <w:sz w:val="20"/>
        </w:rPr>
        <w:t xml:space="preserve"> temperature reaches 250° F, stop the forced draft fan, adjust the damper and under-grate damper to 50% and then stop the induced draft fan.  </w:t>
      </w:r>
    </w:p>
    <w:p w:rsidR="00A82CD1" w:rsidRPr="00144851" w:rsidRDefault="00A82CD1" w:rsidP="00716EE1">
      <w:pPr>
        <w:widowControl w:val="0"/>
        <w:tabs>
          <w:tab w:val="center" w:pos="4500"/>
        </w:tabs>
        <w:spacing w:after="120"/>
        <w:rPr>
          <w:b/>
          <w:sz w:val="20"/>
        </w:rPr>
      </w:pPr>
    </w:p>
    <w:p w:rsidR="00A82CD1" w:rsidRPr="00144851" w:rsidRDefault="00A82CD1" w:rsidP="00716EE1">
      <w:pPr>
        <w:widowControl w:val="0"/>
        <w:tabs>
          <w:tab w:val="center" w:pos="4500"/>
        </w:tabs>
        <w:spacing w:after="120"/>
        <w:rPr>
          <w:b/>
          <w:sz w:val="20"/>
        </w:rPr>
      </w:pPr>
    </w:p>
    <w:p w:rsidR="00E07E38" w:rsidRPr="00144851" w:rsidRDefault="00E07E38" w:rsidP="00716EE1">
      <w:pPr>
        <w:widowControl w:val="0"/>
        <w:tabs>
          <w:tab w:val="center" w:pos="4500"/>
        </w:tabs>
        <w:spacing w:after="120"/>
        <w:rPr>
          <w:b/>
          <w:sz w:val="20"/>
        </w:rPr>
      </w:pPr>
      <w:r w:rsidRPr="00144851">
        <w:rPr>
          <w:b/>
          <w:sz w:val="20"/>
        </w:rPr>
        <w:t>Boiler 4</w:t>
      </w:r>
    </w:p>
    <w:p w:rsidR="00E07E38" w:rsidRPr="00144851" w:rsidRDefault="00E07E38" w:rsidP="00716EE1">
      <w:pPr>
        <w:widowControl w:val="0"/>
        <w:spacing w:after="120"/>
        <w:ind w:left="360" w:hanging="360"/>
        <w:rPr>
          <w:sz w:val="20"/>
          <w:u w:val="single"/>
        </w:rPr>
      </w:pPr>
      <w:r w:rsidRPr="00144851">
        <w:rPr>
          <w:sz w:val="20"/>
          <w:u w:val="single"/>
        </w:rPr>
        <w:lastRenderedPageBreak/>
        <w:t>Cold Startup</w:t>
      </w:r>
    </w:p>
    <w:p w:rsidR="0090162E" w:rsidRPr="00144851" w:rsidRDefault="0090162E" w:rsidP="00716EE1">
      <w:pPr>
        <w:widowControl w:val="0"/>
        <w:numPr>
          <w:ilvl w:val="0"/>
          <w:numId w:val="11"/>
        </w:numPr>
        <w:spacing w:after="120"/>
        <w:rPr>
          <w:sz w:val="20"/>
        </w:rPr>
      </w:pPr>
      <w:r w:rsidRPr="00144851">
        <w:rPr>
          <w:sz w:val="20"/>
        </w:rPr>
        <w:t>Start the feedwater pump and check for proper lubrication and vibration.</w:t>
      </w:r>
    </w:p>
    <w:p w:rsidR="0090162E" w:rsidRPr="00144851" w:rsidRDefault="0090162E" w:rsidP="00716EE1">
      <w:pPr>
        <w:widowControl w:val="0"/>
        <w:numPr>
          <w:ilvl w:val="0"/>
          <w:numId w:val="11"/>
        </w:numPr>
        <w:spacing w:after="120"/>
        <w:rPr>
          <w:sz w:val="20"/>
        </w:rPr>
      </w:pPr>
      <w:r w:rsidRPr="00144851">
        <w:rPr>
          <w:sz w:val="20"/>
        </w:rPr>
        <w:t>Fill the scrubber to the proper starting level and set the delta P controller to “+8”.</w:t>
      </w:r>
    </w:p>
    <w:p w:rsidR="00E07E38" w:rsidRPr="00144851" w:rsidRDefault="0090162E" w:rsidP="00716EE1">
      <w:pPr>
        <w:widowControl w:val="0"/>
        <w:numPr>
          <w:ilvl w:val="0"/>
          <w:numId w:val="11"/>
        </w:numPr>
        <w:spacing w:after="120"/>
        <w:rPr>
          <w:sz w:val="20"/>
        </w:rPr>
      </w:pPr>
      <w:r w:rsidRPr="00144851">
        <w:rPr>
          <w:sz w:val="20"/>
        </w:rPr>
        <w:t>Open the spray nozzles in the scrubber and start water flow to the scrubber.</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Align fuel, gas and air atomization lines.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fuel pump and burner sequence.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under-grate air to 50%.  Start feeding bagasse.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716EE1">
      <w:pPr>
        <w:widowControl w:val="0"/>
        <w:numPr>
          <w:ilvl w:val="0"/>
          <w:numId w:val="11"/>
        </w:numPr>
        <w:spacing w:after="120"/>
        <w:rPr>
          <w:sz w:val="20"/>
        </w:rPr>
      </w:pPr>
      <w:r w:rsidRPr="00144851">
        <w:rPr>
          <w:sz w:val="20"/>
        </w:rPr>
        <w:t>A cold startup is a startup after the boiler has been down for more than 4 or 5 hours.  Typically, a cold startup will require 6 to 12 hours from the first fire to normal working pressure.  There may be 10 cold startups per crop season (more or less) depending on excessive r</w:t>
      </w:r>
      <w:r w:rsidR="0090162E" w:rsidRPr="00144851">
        <w:rPr>
          <w:sz w:val="20"/>
        </w:rPr>
        <w:t>ain and mechanical breakdowns.</w:t>
      </w:r>
    </w:p>
    <w:p w:rsidR="00E07E38" w:rsidRPr="00144851" w:rsidRDefault="00262677" w:rsidP="00716EE1">
      <w:pPr>
        <w:widowControl w:val="0"/>
        <w:spacing w:after="120"/>
        <w:ind w:left="360" w:hanging="36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12"/>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12"/>
        </w:numPr>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12"/>
        </w:numPr>
        <w:spacing w:after="120"/>
        <w:rPr>
          <w:sz w:val="20"/>
        </w:rPr>
      </w:pPr>
      <w:r w:rsidRPr="00144851">
        <w:rPr>
          <w:sz w:val="20"/>
        </w:rPr>
        <w:t>Check the boiler and scrubber water levels, circulating pump and spray nozzles, and make sure they are functioning properly.</w:t>
      </w:r>
    </w:p>
    <w:p w:rsidR="00E07E38" w:rsidRPr="00144851" w:rsidRDefault="00887099" w:rsidP="00716EE1">
      <w:pPr>
        <w:widowControl w:val="0"/>
        <w:numPr>
          <w:ilvl w:val="0"/>
          <w:numId w:val="12"/>
        </w:numPr>
        <w:spacing w:after="120"/>
        <w:rPr>
          <w:sz w:val="20"/>
        </w:rPr>
      </w:pPr>
      <w:r w:rsidRPr="00144851">
        <w:rPr>
          <w:sz w:val="20"/>
        </w:rPr>
        <w:t>2</w:t>
      </w:r>
      <w:r w:rsidR="00E07E38" w:rsidRPr="00144851">
        <w:rPr>
          <w:sz w:val="20"/>
        </w:rPr>
        <w:t>Light a burner. Continue to observe the stack plume, water levels, and burners.</w:t>
      </w:r>
    </w:p>
    <w:p w:rsidR="00E07E38" w:rsidRPr="00144851" w:rsidRDefault="00E07E38" w:rsidP="00716EE1">
      <w:pPr>
        <w:widowControl w:val="0"/>
        <w:numPr>
          <w:ilvl w:val="0"/>
          <w:numId w:val="12"/>
        </w:numPr>
        <w:spacing w:after="120"/>
        <w:rPr>
          <w:sz w:val="20"/>
        </w:rPr>
      </w:pPr>
      <w:r w:rsidRPr="00144851">
        <w:rPr>
          <w:sz w:val="20"/>
        </w:rPr>
        <w:t>As the carbonaceous fuel fire gets hot enough to meet demand, reduce the burner fuel until it can be turned off.  Adjust the dampers to get optimum carbonaceous fuel firing.</w:t>
      </w:r>
    </w:p>
    <w:p w:rsidR="00E07E38" w:rsidRPr="00144851" w:rsidRDefault="00E07E38" w:rsidP="00716EE1">
      <w:pPr>
        <w:widowControl w:val="0"/>
        <w:numPr>
          <w:ilvl w:val="0"/>
          <w:numId w:val="12"/>
        </w:numPr>
        <w:spacing w:after="120"/>
        <w:rPr>
          <w:sz w:val="20"/>
        </w:rPr>
      </w:pPr>
      <w:r w:rsidRPr="00144851">
        <w:rPr>
          <w:sz w:val="20"/>
        </w:rPr>
        <w:t>Continue to observe the stack plume, scrubber water level, and carbonaceous fuel level, making adjustments to drafts, fuel, and scrubber to maintain the optimum operating conditions.</w:t>
      </w:r>
    </w:p>
    <w:p w:rsidR="00E07E38" w:rsidRPr="00144851" w:rsidRDefault="00E07E38" w:rsidP="00716EE1">
      <w:pPr>
        <w:widowControl w:val="0"/>
        <w:numPr>
          <w:ilvl w:val="0"/>
          <w:numId w:val="12"/>
        </w:numPr>
        <w:spacing w:after="120"/>
        <w:rPr>
          <w:sz w:val="20"/>
        </w:rPr>
      </w:pPr>
      <w:r w:rsidRPr="00144851">
        <w:rPr>
          <w:sz w:val="20"/>
        </w:rPr>
        <w:t xml:space="preserve">A warm startup is a startup after the boiler has been down for less than 5 hours.  Usually, the longer the boiler is down means a longer period will be needed for warm startup.  Typically, a warm startup requires 1 to 5 hours depending on boiler operating conditions.  There may be 5 </w:t>
      </w:r>
      <w:r w:rsidR="00262677" w:rsidRPr="00144851">
        <w:rPr>
          <w:sz w:val="20"/>
        </w:rPr>
        <w:t>warm</w:t>
      </w:r>
      <w:r w:rsidRPr="00144851">
        <w:rPr>
          <w:sz w:val="20"/>
        </w:rPr>
        <w:t xml:space="preserve"> startups per crop season (more or less) depending on mechanical breakdowns </w:t>
      </w:r>
      <w:r w:rsidR="007548ED" w:rsidRPr="00144851">
        <w:rPr>
          <w:sz w:val="20"/>
        </w:rPr>
        <w:t xml:space="preserve">and </w:t>
      </w:r>
      <w:r w:rsidRPr="00144851">
        <w:rPr>
          <w:sz w:val="20"/>
        </w:rPr>
        <w:t>mill interruptions.</w:t>
      </w:r>
    </w:p>
    <w:p w:rsidR="00E07E38" w:rsidRPr="00144851" w:rsidRDefault="00E07E38" w:rsidP="00716EE1">
      <w:pPr>
        <w:pStyle w:val="Header"/>
        <w:widowControl w:val="0"/>
        <w:tabs>
          <w:tab w:val="clear" w:pos="4320"/>
          <w:tab w:val="clear" w:pos="8640"/>
        </w:tabs>
        <w:spacing w:after="120"/>
        <w:rPr>
          <w:sz w:val="20"/>
          <w:u w:val="single"/>
        </w:rPr>
      </w:pPr>
      <w:r w:rsidRPr="00144851">
        <w:rPr>
          <w:sz w:val="20"/>
          <w:u w:val="single"/>
        </w:rPr>
        <w:t>Shutdown</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and adjust the over-fire air to 50%. </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furance</w:t>
      </w:r>
      <w:r w:rsidRPr="00144851">
        <w:rPr>
          <w:sz w:val="20"/>
        </w:rPr>
        <w:t xml:space="preserve"> temperature reaches 250° F, stop the forced draft fan, adjust the damper and under-grate damper to 50% and then stop the induced draft fan.  </w:t>
      </w:r>
    </w:p>
    <w:p w:rsidR="00E07E38" w:rsidRPr="00144851" w:rsidRDefault="00E07E38" w:rsidP="00716EE1">
      <w:pPr>
        <w:widowControl w:val="0"/>
        <w:tabs>
          <w:tab w:val="left" w:pos="504"/>
          <w:tab w:val="left" w:pos="720"/>
          <w:tab w:val="left" w:pos="1008"/>
          <w:tab w:val="left" w:leader="dot" w:pos="9504"/>
        </w:tabs>
        <w:spacing w:after="120"/>
        <w:rPr>
          <w:b/>
          <w:sz w:val="20"/>
        </w:rPr>
      </w:pPr>
      <w:r w:rsidRPr="00144851">
        <w:rPr>
          <w:b/>
          <w:sz w:val="20"/>
        </w:rPr>
        <w:t>Boiler 7</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887099" w:rsidRPr="00144851" w:rsidRDefault="00887099" w:rsidP="002B31C6">
      <w:pPr>
        <w:widowControl w:val="0"/>
        <w:numPr>
          <w:ilvl w:val="0"/>
          <w:numId w:val="55"/>
        </w:numPr>
        <w:tabs>
          <w:tab w:val="left" w:pos="360"/>
        </w:tabs>
        <w:spacing w:after="120"/>
        <w:rPr>
          <w:sz w:val="20"/>
        </w:rPr>
      </w:pPr>
      <w:r w:rsidRPr="00144851">
        <w:rPr>
          <w:sz w:val="20"/>
        </w:rPr>
        <w:t>Start the feedwater pump and check for proper lubrication and vibration.</w:t>
      </w:r>
    </w:p>
    <w:p w:rsidR="00887099" w:rsidRPr="00144851" w:rsidRDefault="00887099" w:rsidP="002B31C6">
      <w:pPr>
        <w:widowControl w:val="0"/>
        <w:numPr>
          <w:ilvl w:val="0"/>
          <w:numId w:val="55"/>
        </w:numPr>
        <w:tabs>
          <w:tab w:val="left" w:pos="360"/>
        </w:tabs>
        <w:spacing w:after="120"/>
        <w:rPr>
          <w:sz w:val="20"/>
        </w:rPr>
      </w:pPr>
      <w:r w:rsidRPr="00144851">
        <w:rPr>
          <w:sz w:val="20"/>
        </w:rPr>
        <w:t xml:space="preserve">Align fuel, gas and air atomization lines.  </w:t>
      </w:r>
    </w:p>
    <w:p w:rsidR="00887099" w:rsidRPr="00144851" w:rsidRDefault="00887099" w:rsidP="002B31C6">
      <w:pPr>
        <w:widowControl w:val="0"/>
        <w:numPr>
          <w:ilvl w:val="0"/>
          <w:numId w:val="55"/>
        </w:numPr>
        <w:spacing w:after="120"/>
        <w:rPr>
          <w:sz w:val="20"/>
        </w:rPr>
      </w:pPr>
      <w:r w:rsidRPr="00144851">
        <w:rPr>
          <w:sz w:val="20"/>
        </w:rPr>
        <w:t>Start the fuel pump and burner sequence.</w:t>
      </w:r>
    </w:p>
    <w:p w:rsidR="00887099" w:rsidRPr="00144851" w:rsidRDefault="005802F4" w:rsidP="002B31C6">
      <w:pPr>
        <w:widowControl w:val="0"/>
        <w:numPr>
          <w:ilvl w:val="0"/>
          <w:numId w:val="55"/>
        </w:numPr>
        <w:tabs>
          <w:tab w:val="left" w:pos="360"/>
        </w:tabs>
        <w:spacing w:after="120"/>
        <w:rPr>
          <w:sz w:val="20"/>
        </w:rPr>
      </w:pPr>
      <w:r>
        <w:rPr>
          <w:sz w:val="20"/>
        </w:rPr>
        <w:lastRenderedPageBreak/>
        <w:t>Start the slurry water, sh</w:t>
      </w:r>
      <w:r w:rsidR="00887099" w:rsidRPr="00144851">
        <w:rPr>
          <w:sz w:val="20"/>
        </w:rPr>
        <w:t>akers, submerged ash belt, electrostatic precipitator scrolls and adjust dampers as needed.</w:t>
      </w:r>
    </w:p>
    <w:p w:rsidR="00887099" w:rsidRPr="00144851" w:rsidRDefault="00887099" w:rsidP="002B31C6">
      <w:pPr>
        <w:widowControl w:val="0"/>
        <w:numPr>
          <w:ilvl w:val="0"/>
          <w:numId w:val="55"/>
        </w:numPr>
        <w:tabs>
          <w:tab w:val="left" w:pos="360"/>
        </w:tabs>
        <w:spacing w:after="120"/>
        <w:rPr>
          <w:sz w:val="20"/>
        </w:rPr>
      </w:pPr>
      <w:r w:rsidRPr="00144851">
        <w:rPr>
          <w:sz w:val="20"/>
        </w:rPr>
        <w:t>Start the over fire fan and once properly operating, adjust over fire fan, forced draft fan, and under-grate air.  Start feeding bagasse.</w:t>
      </w:r>
    </w:p>
    <w:p w:rsidR="00E07E38" w:rsidRPr="00144851" w:rsidRDefault="00887099" w:rsidP="002B31C6">
      <w:pPr>
        <w:widowControl w:val="0"/>
        <w:numPr>
          <w:ilvl w:val="0"/>
          <w:numId w:val="55"/>
        </w:numPr>
        <w:tabs>
          <w:tab w:val="left" w:pos="360"/>
        </w:tabs>
        <w:spacing w:after="120"/>
        <w:rPr>
          <w:sz w:val="20"/>
        </w:rPr>
      </w:pPr>
      <w:r w:rsidRPr="00144851">
        <w:rPr>
          <w:sz w:val="20"/>
        </w:rPr>
        <w:t xml:space="preserve">Set up the cyclone sand </w:t>
      </w:r>
      <w:r w:rsidR="00E07E38" w:rsidRPr="00144851">
        <w:rPr>
          <w:sz w:val="20"/>
        </w:rPr>
        <w:t>separator</w:t>
      </w:r>
      <w:r w:rsidRPr="00144851">
        <w:rPr>
          <w:sz w:val="20"/>
        </w:rPr>
        <w:t>s, spray nozzles and pumps.</w:t>
      </w:r>
    </w:p>
    <w:p w:rsidR="00102D61" w:rsidRPr="00144851" w:rsidRDefault="00102D61" w:rsidP="002B31C6">
      <w:pPr>
        <w:widowControl w:val="0"/>
        <w:numPr>
          <w:ilvl w:val="0"/>
          <w:numId w:val="55"/>
        </w:numPr>
        <w:spacing w:after="120"/>
        <w:rPr>
          <w:sz w:val="20"/>
        </w:rPr>
      </w:pPr>
      <w:r w:rsidRPr="00144851">
        <w:rPr>
          <w:sz w:val="20"/>
        </w:rPr>
        <w:t>When the electrostatic precipitator meets all interlocks (oxygen level, temperature and ash scrolls), start all three fields.</w:t>
      </w:r>
    </w:p>
    <w:p w:rsidR="00E07E38" w:rsidRPr="00144851" w:rsidRDefault="00E07E38" w:rsidP="002B31C6">
      <w:pPr>
        <w:widowControl w:val="0"/>
        <w:numPr>
          <w:ilvl w:val="0"/>
          <w:numId w:val="55"/>
        </w:numPr>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before="120" w:after="120"/>
        <w:rPr>
          <w:sz w:val="20"/>
        </w:rPr>
      </w:pPr>
      <w:r w:rsidRPr="00144851">
        <w:rPr>
          <w:sz w:val="20"/>
          <w:u w:val="single"/>
        </w:rPr>
        <w:t>Warm</w:t>
      </w:r>
      <w:r w:rsidR="00E07E38" w:rsidRPr="00144851">
        <w:rPr>
          <w:sz w:val="20"/>
          <w:u w:val="single"/>
        </w:rPr>
        <w:t xml:space="preserve"> Startup (approximately 1 to 5 hours)</w:t>
      </w:r>
    </w:p>
    <w:p w:rsidR="00E07E38" w:rsidRPr="00144851" w:rsidRDefault="00E07E38" w:rsidP="002B31C6">
      <w:pPr>
        <w:widowControl w:val="0"/>
        <w:numPr>
          <w:ilvl w:val="0"/>
          <w:numId w:val="13"/>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2B31C6">
      <w:pPr>
        <w:widowControl w:val="0"/>
        <w:numPr>
          <w:ilvl w:val="0"/>
          <w:numId w:val="13"/>
        </w:numPr>
        <w:spacing w:after="120"/>
        <w:rPr>
          <w:sz w:val="20"/>
        </w:rPr>
      </w:pPr>
      <w:r w:rsidRPr="00144851">
        <w:rPr>
          <w:sz w:val="20"/>
        </w:rPr>
        <w:t>Turn on wet sand separator.</w:t>
      </w:r>
    </w:p>
    <w:p w:rsidR="00E07E38" w:rsidRPr="00144851" w:rsidRDefault="00E07E38" w:rsidP="002B31C6">
      <w:pPr>
        <w:widowControl w:val="0"/>
        <w:numPr>
          <w:ilvl w:val="0"/>
          <w:numId w:val="13"/>
        </w:numPr>
        <w:spacing w:after="120"/>
        <w:rPr>
          <w:sz w:val="20"/>
        </w:rPr>
      </w:pPr>
      <w:r w:rsidRPr="00144851">
        <w:rPr>
          <w:sz w:val="20"/>
        </w:rPr>
        <w:t>Check the boiler and wet sand separator water level, and circulating pump and make sure they are functioning properly.</w:t>
      </w:r>
    </w:p>
    <w:p w:rsidR="00E07E38" w:rsidRPr="00144851" w:rsidRDefault="00E07E38" w:rsidP="002B31C6">
      <w:pPr>
        <w:widowControl w:val="0"/>
        <w:numPr>
          <w:ilvl w:val="0"/>
          <w:numId w:val="13"/>
        </w:numPr>
        <w:spacing w:after="120"/>
        <w:rPr>
          <w:sz w:val="20"/>
        </w:rPr>
      </w:pPr>
      <w:r w:rsidRPr="00144851">
        <w:rPr>
          <w:sz w:val="20"/>
        </w:rPr>
        <w:t xml:space="preserve">Light a </w:t>
      </w:r>
      <w:proofErr w:type="gramStart"/>
      <w:r w:rsidRPr="00144851">
        <w:rPr>
          <w:sz w:val="20"/>
        </w:rPr>
        <w:t>burner,</w:t>
      </w:r>
      <w:proofErr w:type="gramEnd"/>
      <w:r w:rsidRPr="00144851">
        <w:rPr>
          <w:sz w:val="20"/>
        </w:rPr>
        <w:t xml:space="preserve"> continue to observe the stack plume, water levels, and burners.</w:t>
      </w:r>
    </w:p>
    <w:p w:rsidR="00E07E38" w:rsidRPr="00144851" w:rsidRDefault="00E07E38" w:rsidP="002B31C6">
      <w:pPr>
        <w:widowControl w:val="0"/>
        <w:numPr>
          <w:ilvl w:val="0"/>
          <w:numId w:val="13"/>
        </w:numPr>
        <w:spacing w:after="120"/>
        <w:rPr>
          <w:sz w:val="20"/>
        </w:rPr>
      </w:pPr>
      <w:r w:rsidRPr="00144851">
        <w:rPr>
          <w:sz w:val="20"/>
        </w:rPr>
        <w:t xml:space="preserve">Activate </w:t>
      </w:r>
      <w:r w:rsidR="00716EE1" w:rsidRPr="00144851">
        <w:rPr>
          <w:sz w:val="20"/>
        </w:rPr>
        <w:t>electrostatic precipitator</w:t>
      </w:r>
      <w:r w:rsidRPr="00144851">
        <w:rPr>
          <w:sz w:val="20"/>
        </w:rPr>
        <w:t>.</w:t>
      </w:r>
    </w:p>
    <w:p w:rsidR="00E07E38" w:rsidRPr="00144851" w:rsidRDefault="00E07E38" w:rsidP="002B31C6">
      <w:pPr>
        <w:widowControl w:val="0"/>
        <w:numPr>
          <w:ilvl w:val="0"/>
          <w:numId w:val="13"/>
        </w:numPr>
        <w:spacing w:after="120"/>
        <w:rPr>
          <w:sz w:val="20"/>
        </w:rPr>
      </w:pPr>
      <w:r w:rsidRPr="00144851">
        <w:rPr>
          <w:sz w:val="20"/>
        </w:rPr>
        <w:t>Feed carbonaceous fuel from the mill to the boiler slowly at first</w:t>
      </w:r>
      <w:r w:rsidR="0095296E" w:rsidRPr="00144851">
        <w:rPr>
          <w:sz w:val="20"/>
        </w:rPr>
        <w:t xml:space="preserve">.  </w:t>
      </w:r>
      <w:r w:rsidRPr="00144851">
        <w:rPr>
          <w:sz w:val="20"/>
        </w:rPr>
        <w:t>As the furnace gets hotter and the carbonaceous fuel is burning better, decrease fuel oil until burners can be turned off</w:t>
      </w:r>
      <w:r w:rsidR="0095296E" w:rsidRPr="00144851">
        <w:rPr>
          <w:sz w:val="20"/>
        </w:rPr>
        <w:t xml:space="preserve">. </w:t>
      </w:r>
      <w:r w:rsidRPr="00144851">
        <w:rPr>
          <w:sz w:val="20"/>
        </w:rPr>
        <w:t xml:space="preserve"> As the carbonaceous fuel fire gets hot enough to meet steam demand, reduce the fuel oil until the burners can be turned off.  Adjust the dampers to get optimum carbonaceous fuel firing.</w:t>
      </w:r>
    </w:p>
    <w:p w:rsidR="00E07E38" w:rsidRPr="00144851" w:rsidRDefault="00E07E38" w:rsidP="002B31C6">
      <w:pPr>
        <w:widowControl w:val="0"/>
        <w:numPr>
          <w:ilvl w:val="0"/>
          <w:numId w:val="13"/>
        </w:numPr>
        <w:spacing w:after="120"/>
        <w:rPr>
          <w:sz w:val="20"/>
        </w:rPr>
      </w:pPr>
      <w:r w:rsidRPr="00144851">
        <w:rPr>
          <w:sz w:val="20"/>
        </w:rPr>
        <w:t>Continue to observe the stack plume, wet sand separator water level, and carbonaceous fuel level, making adjustments to drafts, fuel, wet sand separator and ESP to maintain optimum operating conditions.</w:t>
      </w:r>
    </w:p>
    <w:p w:rsidR="00E07E38" w:rsidRPr="00144851" w:rsidRDefault="00E07E38" w:rsidP="002B31C6">
      <w:pPr>
        <w:widowControl w:val="0"/>
        <w:numPr>
          <w:ilvl w:val="0"/>
          <w:numId w:val="13"/>
        </w:numPr>
        <w:spacing w:after="120"/>
        <w:rPr>
          <w:sz w:val="20"/>
        </w:rPr>
      </w:pPr>
      <w:r w:rsidRPr="00144851">
        <w:rPr>
          <w:sz w:val="20"/>
        </w:rPr>
        <w:t>Normally, a warm startup requires 1 to 5 hours, depending on boiler operating conditions.</w:t>
      </w:r>
    </w:p>
    <w:p w:rsidR="00E07E38" w:rsidRPr="00144851" w:rsidRDefault="00E07E38" w:rsidP="00716EE1">
      <w:pPr>
        <w:pStyle w:val="Heading7"/>
        <w:widowControl w:val="0"/>
        <w:numPr>
          <w:ilvl w:val="0"/>
          <w:numId w:val="0"/>
        </w:numPr>
        <w:tabs>
          <w:tab w:val="left" w:pos="1080"/>
        </w:tabs>
        <w:spacing w:before="120" w:after="120"/>
        <w:rPr>
          <w:rFonts w:ascii="Times New Roman" w:hAnsi="Times New Roman"/>
          <w:bCs/>
          <w:u w:val="single"/>
        </w:rPr>
      </w:pPr>
      <w:r w:rsidRPr="00144851">
        <w:rPr>
          <w:rFonts w:ascii="Times New Roman" w:hAnsi="Times New Roman"/>
          <w:bCs/>
          <w:u w:val="single"/>
        </w:rPr>
        <w:t>Shutdown</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w:t>
      </w:r>
    </w:p>
    <w:p w:rsidR="00716EE1" w:rsidRPr="00144851" w:rsidRDefault="00716EE1" w:rsidP="002B31C6">
      <w:pPr>
        <w:widowControl w:val="0"/>
        <w:numPr>
          <w:ilvl w:val="0"/>
          <w:numId w:val="14"/>
        </w:numPr>
        <w:tabs>
          <w:tab w:val="left" w:pos="504"/>
          <w:tab w:val="left" w:pos="720"/>
          <w:tab w:val="left" w:pos="1008"/>
          <w:tab w:val="left" w:leader="dot" w:pos="9504"/>
        </w:tabs>
        <w:spacing w:after="120"/>
        <w:rPr>
          <w:sz w:val="20"/>
        </w:rPr>
      </w:pPr>
      <w:r w:rsidRPr="00144851">
        <w:rPr>
          <w:sz w:val="20"/>
        </w:rPr>
        <w:t>Deactivate the electrostatic precipitator and turn off the wet sand separator.</w:t>
      </w:r>
    </w:p>
    <w:p w:rsidR="00E07E38" w:rsidRPr="00144851" w:rsidRDefault="00E07E38" w:rsidP="00716EE1">
      <w:pPr>
        <w:widowControl w:val="0"/>
        <w:spacing w:before="120" w:after="120"/>
        <w:rPr>
          <w:b/>
          <w:sz w:val="20"/>
        </w:rPr>
      </w:pPr>
      <w:r w:rsidRPr="00144851">
        <w:rPr>
          <w:b/>
          <w:sz w:val="20"/>
        </w:rPr>
        <w:t>Boiler 8</w:t>
      </w:r>
    </w:p>
    <w:p w:rsidR="00716EE1" w:rsidRPr="00144851" w:rsidRDefault="00E07E38" w:rsidP="00716EE1">
      <w:pPr>
        <w:pStyle w:val="BodyText"/>
        <w:widowControl w:val="0"/>
        <w:rPr>
          <w:sz w:val="20"/>
          <w:u w:val="single"/>
        </w:rPr>
      </w:pPr>
      <w:r w:rsidRPr="00144851">
        <w:rPr>
          <w:sz w:val="20"/>
          <w:u w:val="single"/>
        </w:rPr>
        <w:t>Startup</w:t>
      </w:r>
    </w:p>
    <w:p w:rsidR="00716EE1" w:rsidRPr="00144851" w:rsidRDefault="00716EE1" w:rsidP="002B31C6">
      <w:pPr>
        <w:pStyle w:val="BodyText"/>
        <w:widowControl w:val="0"/>
        <w:numPr>
          <w:ilvl w:val="0"/>
          <w:numId w:val="57"/>
        </w:numPr>
        <w:rPr>
          <w:sz w:val="20"/>
        </w:rPr>
      </w:pPr>
      <w:r w:rsidRPr="00144851">
        <w:rPr>
          <w:sz w:val="20"/>
        </w:rPr>
        <w:t>Align compressed air system and air compressors for Boiler 8 plant air and instrument air.</w:t>
      </w:r>
    </w:p>
    <w:p w:rsidR="00716EE1" w:rsidRPr="00144851" w:rsidRDefault="00716EE1" w:rsidP="002B31C6">
      <w:pPr>
        <w:pStyle w:val="BodyText"/>
        <w:widowControl w:val="0"/>
        <w:numPr>
          <w:ilvl w:val="0"/>
          <w:numId w:val="57"/>
        </w:numPr>
        <w:rPr>
          <w:sz w:val="20"/>
        </w:rPr>
      </w:pPr>
      <w:r w:rsidRPr="00144851">
        <w:rPr>
          <w:sz w:val="20"/>
        </w:rPr>
        <w:t>Align and start instrument air dryer.</w:t>
      </w:r>
    </w:p>
    <w:p w:rsidR="00716EE1" w:rsidRPr="00144851" w:rsidRDefault="00716EE1" w:rsidP="002B31C6">
      <w:pPr>
        <w:pStyle w:val="BodyText"/>
        <w:widowControl w:val="0"/>
        <w:numPr>
          <w:ilvl w:val="0"/>
          <w:numId w:val="57"/>
        </w:numPr>
        <w:rPr>
          <w:sz w:val="20"/>
        </w:rPr>
      </w:pPr>
      <w:r w:rsidRPr="00144851">
        <w:rPr>
          <w:sz w:val="20"/>
        </w:rPr>
        <w:t>Start canal water pump for wet cyclone collectors.</w:t>
      </w:r>
    </w:p>
    <w:p w:rsidR="00716EE1" w:rsidRPr="00144851" w:rsidRDefault="00716EE1" w:rsidP="002B31C6">
      <w:pPr>
        <w:pStyle w:val="BodyText"/>
        <w:widowControl w:val="0"/>
        <w:numPr>
          <w:ilvl w:val="0"/>
          <w:numId w:val="57"/>
        </w:numPr>
        <w:rPr>
          <w:sz w:val="20"/>
        </w:rPr>
      </w:pPr>
      <w:r w:rsidRPr="00144851">
        <w:rPr>
          <w:sz w:val="20"/>
        </w:rPr>
        <w:t>Start slurry pump.</w:t>
      </w:r>
    </w:p>
    <w:p w:rsidR="00716EE1" w:rsidRPr="00144851" w:rsidRDefault="00716EE1" w:rsidP="002B31C6">
      <w:pPr>
        <w:pStyle w:val="BodyText"/>
        <w:widowControl w:val="0"/>
        <w:numPr>
          <w:ilvl w:val="0"/>
          <w:numId w:val="57"/>
        </w:numPr>
        <w:rPr>
          <w:sz w:val="20"/>
        </w:rPr>
      </w:pPr>
      <w:r w:rsidRPr="00144851">
        <w:rPr>
          <w:sz w:val="20"/>
        </w:rPr>
        <w:t>Start electrostatic precipitator ash mix tank.</w:t>
      </w:r>
    </w:p>
    <w:p w:rsidR="00716EE1" w:rsidRPr="00144851" w:rsidRDefault="004A5887" w:rsidP="002B31C6">
      <w:pPr>
        <w:pStyle w:val="BodyText"/>
        <w:widowControl w:val="0"/>
        <w:numPr>
          <w:ilvl w:val="0"/>
          <w:numId w:val="57"/>
        </w:numPr>
        <w:rPr>
          <w:sz w:val="20"/>
        </w:rPr>
      </w:pPr>
      <w:r w:rsidRPr="00144851">
        <w:rPr>
          <w:sz w:val="20"/>
        </w:rPr>
        <w:t>Start electrostatic precipitator hopper screw conveyors.</w:t>
      </w:r>
    </w:p>
    <w:p w:rsidR="004A5887" w:rsidRPr="00144851" w:rsidRDefault="004A5887" w:rsidP="002B31C6">
      <w:pPr>
        <w:pStyle w:val="BodyText"/>
        <w:widowControl w:val="0"/>
        <w:numPr>
          <w:ilvl w:val="0"/>
          <w:numId w:val="57"/>
        </w:numPr>
        <w:rPr>
          <w:sz w:val="20"/>
        </w:rPr>
      </w:pPr>
      <w:r w:rsidRPr="00144851">
        <w:rPr>
          <w:sz w:val="20"/>
        </w:rPr>
        <w:t>Start electrostatic precipitator purge air blowers.</w:t>
      </w:r>
    </w:p>
    <w:p w:rsidR="004A5887" w:rsidRPr="00144851" w:rsidRDefault="004A5887" w:rsidP="002B31C6">
      <w:pPr>
        <w:pStyle w:val="BodyText"/>
        <w:widowControl w:val="0"/>
        <w:numPr>
          <w:ilvl w:val="0"/>
          <w:numId w:val="57"/>
        </w:numPr>
        <w:rPr>
          <w:sz w:val="20"/>
        </w:rPr>
      </w:pPr>
      <w:r w:rsidRPr="00144851">
        <w:rPr>
          <w:sz w:val="20"/>
        </w:rPr>
        <w:t>Set up air dampers to start induced draft air fan.</w:t>
      </w:r>
    </w:p>
    <w:p w:rsidR="004A5887" w:rsidRPr="00144851" w:rsidRDefault="004A5887" w:rsidP="002B31C6">
      <w:pPr>
        <w:pStyle w:val="BodyText"/>
        <w:widowControl w:val="0"/>
        <w:numPr>
          <w:ilvl w:val="0"/>
          <w:numId w:val="57"/>
        </w:numPr>
        <w:rPr>
          <w:sz w:val="20"/>
        </w:rPr>
      </w:pPr>
      <w:r w:rsidRPr="00144851">
        <w:rPr>
          <w:sz w:val="20"/>
        </w:rPr>
        <w:t>Start induced draft air fan, over-fire ai</w:t>
      </w:r>
      <w:r w:rsidR="002C619E">
        <w:rPr>
          <w:sz w:val="20"/>
        </w:rPr>
        <w:t>r</w:t>
      </w:r>
      <w:r w:rsidRPr="00144851">
        <w:rPr>
          <w:sz w:val="20"/>
        </w:rPr>
        <w:t xml:space="preserve"> fan and distributor air fan.</w:t>
      </w:r>
    </w:p>
    <w:p w:rsidR="004A5887" w:rsidRPr="00144851" w:rsidRDefault="004A5887" w:rsidP="002B31C6">
      <w:pPr>
        <w:pStyle w:val="BodyText"/>
        <w:widowControl w:val="0"/>
        <w:numPr>
          <w:ilvl w:val="0"/>
          <w:numId w:val="57"/>
        </w:numPr>
        <w:rPr>
          <w:sz w:val="20"/>
        </w:rPr>
      </w:pPr>
      <w:r w:rsidRPr="00144851">
        <w:rPr>
          <w:sz w:val="20"/>
        </w:rPr>
        <w:t>Start an oil pump.</w:t>
      </w:r>
    </w:p>
    <w:p w:rsidR="004A5887" w:rsidRPr="00144851" w:rsidRDefault="004A5887" w:rsidP="002B31C6">
      <w:pPr>
        <w:pStyle w:val="BodyText"/>
        <w:widowControl w:val="0"/>
        <w:numPr>
          <w:ilvl w:val="0"/>
          <w:numId w:val="57"/>
        </w:numPr>
        <w:rPr>
          <w:sz w:val="20"/>
        </w:rPr>
      </w:pPr>
      <w:r w:rsidRPr="00144851">
        <w:rPr>
          <w:sz w:val="20"/>
        </w:rPr>
        <w:t>Start the desired oil burner.</w:t>
      </w:r>
    </w:p>
    <w:p w:rsidR="004A5887" w:rsidRPr="00144851" w:rsidRDefault="004A5887" w:rsidP="002B31C6">
      <w:pPr>
        <w:pStyle w:val="BodyText"/>
        <w:widowControl w:val="0"/>
        <w:numPr>
          <w:ilvl w:val="0"/>
          <w:numId w:val="57"/>
        </w:numPr>
        <w:rPr>
          <w:sz w:val="20"/>
        </w:rPr>
      </w:pPr>
      <w:r w:rsidRPr="00144851">
        <w:rPr>
          <w:sz w:val="20"/>
        </w:rPr>
        <w:t>While boiler is heating up, start the bagasse conveyors for Boiler 8 and fill bagasse feeders.</w:t>
      </w:r>
    </w:p>
    <w:p w:rsidR="004A5887" w:rsidRPr="00144851" w:rsidRDefault="004A5887" w:rsidP="002B31C6">
      <w:pPr>
        <w:pStyle w:val="BodyText"/>
        <w:widowControl w:val="0"/>
        <w:numPr>
          <w:ilvl w:val="0"/>
          <w:numId w:val="57"/>
        </w:numPr>
        <w:rPr>
          <w:sz w:val="20"/>
        </w:rPr>
      </w:pPr>
      <w:r w:rsidRPr="00144851">
        <w:rPr>
          <w:sz w:val="20"/>
        </w:rPr>
        <w:t>When the boiler pressure gets above 500 psig, start introducing bagasse into the boiler.</w:t>
      </w:r>
    </w:p>
    <w:p w:rsidR="004A5887" w:rsidRPr="00144851" w:rsidRDefault="004A5887" w:rsidP="002B31C6">
      <w:pPr>
        <w:pStyle w:val="BodyText"/>
        <w:widowControl w:val="0"/>
        <w:numPr>
          <w:ilvl w:val="0"/>
          <w:numId w:val="57"/>
        </w:numPr>
        <w:rPr>
          <w:sz w:val="20"/>
        </w:rPr>
      </w:pPr>
      <w:r w:rsidRPr="00144851">
        <w:rPr>
          <w:sz w:val="20"/>
        </w:rPr>
        <w:lastRenderedPageBreak/>
        <w:t>Start the five electrostatic precipitator transformer-rectifiers.</w:t>
      </w:r>
    </w:p>
    <w:p w:rsidR="004A5887" w:rsidRPr="00144851" w:rsidRDefault="004A5887" w:rsidP="002B31C6">
      <w:pPr>
        <w:pStyle w:val="BodyText"/>
        <w:widowControl w:val="0"/>
        <w:numPr>
          <w:ilvl w:val="0"/>
          <w:numId w:val="57"/>
        </w:numPr>
        <w:rPr>
          <w:sz w:val="20"/>
        </w:rPr>
      </w:pPr>
      <w:r w:rsidRPr="00144851">
        <w:rPr>
          <w:sz w:val="20"/>
        </w:rPr>
        <w:t>Start the selective non-catalytic reduction system.</w:t>
      </w:r>
    </w:p>
    <w:p w:rsidR="00262677" w:rsidRPr="00144851" w:rsidRDefault="00262677" w:rsidP="00262677">
      <w:pPr>
        <w:pStyle w:val="BodyText"/>
        <w:widowControl w:val="0"/>
        <w:numPr>
          <w:ilvl w:val="0"/>
          <w:numId w:val="57"/>
        </w:numPr>
        <w:rPr>
          <w:sz w:val="20"/>
        </w:rPr>
      </w:pPr>
      <w:r w:rsidRPr="00144851">
        <w:rPr>
          <w:sz w:val="20"/>
        </w:rPr>
        <w:t>It will take approximately 4 to 5 hours to warm up the boiler, reach the minimum boiler temperature and begin firing biomass.  Once biomass firing begins, the full steaming rate can be achieved in approximately 30 to 60 minutes.</w:t>
      </w:r>
    </w:p>
    <w:p w:rsidR="004A5887" w:rsidRPr="00144851" w:rsidRDefault="004A5887" w:rsidP="004A5887">
      <w:pPr>
        <w:pStyle w:val="BodyText"/>
        <w:widowControl w:val="0"/>
        <w:rPr>
          <w:sz w:val="20"/>
          <w:u w:val="single"/>
        </w:rPr>
      </w:pPr>
      <w:r w:rsidRPr="00144851">
        <w:rPr>
          <w:sz w:val="20"/>
          <w:u w:val="single"/>
        </w:rPr>
        <w:t>Shutdown</w:t>
      </w:r>
    </w:p>
    <w:p w:rsidR="004A5887" w:rsidRPr="00144851" w:rsidRDefault="004A5887" w:rsidP="002B31C6">
      <w:pPr>
        <w:pStyle w:val="BodyText"/>
        <w:widowControl w:val="0"/>
        <w:numPr>
          <w:ilvl w:val="0"/>
          <w:numId w:val="58"/>
        </w:numPr>
        <w:rPr>
          <w:sz w:val="20"/>
        </w:rPr>
      </w:pPr>
      <w:r w:rsidRPr="00144851">
        <w:rPr>
          <w:sz w:val="20"/>
        </w:rPr>
        <w:t>Reduce boiler load to minimum.</w:t>
      </w:r>
    </w:p>
    <w:p w:rsidR="004A5887" w:rsidRPr="00144851" w:rsidRDefault="004A5887" w:rsidP="002B31C6">
      <w:pPr>
        <w:pStyle w:val="BodyText"/>
        <w:widowControl w:val="0"/>
        <w:numPr>
          <w:ilvl w:val="0"/>
          <w:numId w:val="58"/>
        </w:numPr>
        <w:rPr>
          <w:sz w:val="20"/>
        </w:rPr>
      </w:pPr>
      <w:r w:rsidRPr="00144851">
        <w:rPr>
          <w:sz w:val="20"/>
        </w:rPr>
        <w:t>Allow bagasse feeders to run empty.</w:t>
      </w:r>
    </w:p>
    <w:p w:rsidR="004A5887" w:rsidRPr="00144851" w:rsidRDefault="004A5887" w:rsidP="002B31C6">
      <w:pPr>
        <w:pStyle w:val="BodyText"/>
        <w:widowControl w:val="0"/>
        <w:numPr>
          <w:ilvl w:val="0"/>
          <w:numId w:val="58"/>
        </w:numPr>
        <w:rPr>
          <w:sz w:val="20"/>
        </w:rPr>
      </w:pPr>
      <w:r w:rsidRPr="00144851">
        <w:rPr>
          <w:sz w:val="20"/>
        </w:rPr>
        <w:t>When the fire is completely out, stop the distributor air fan.</w:t>
      </w:r>
    </w:p>
    <w:p w:rsidR="004A5887" w:rsidRPr="00144851" w:rsidRDefault="004A5887" w:rsidP="002B31C6">
      <w:pPr>
        <w:pStyle w:val="BodyText"/>
        <w:widowControl w:val="0"/>
        <w:numPr>
          <w:ilvl w:val="0"/>
          <w:numId w:val="58"/>
        </w:numPr>
        <w:rPr>
          <w:sz w:val="20"/>
        </w:rPr>
      </w:pPr>
      <w:r w:rsidRPr="00144851">
        <w:rPr>
          <w:sz w:val="20"/>
        </w:rPr>
        <w:t>Stop the over-fire air fan.</w:t>
      </w:r>
    </w:p>
    <w:p w:rsidR="004A5887" w:rsidRPr="00144851" w:rsidRDefault="004A5887" w:rsidP="002B31C6">
      <w:pPr>
        <w:pStyle w:val="BodyText"/>
        <w:widowControl w:val="0"/>
        <w:numPr>
          <w:ilvl w:val="0"/>
          <w:numId w:val="58"/>
        </w:numPr>
        <w:rPr>
          <w:sz w:val="20"/>
        </w:rPr>
      </w:pPr>
      <w:r w:rsidRPr="00144851">
        <w:rPr>
          <w:sz w:val="20"/>
        </w:rPr>
        <w:t xml:space="preserve">Turn off the electrostatic precipitator fields.  </w:t>
      </w:r>
    </w:p>
    <w:p w:rsidR="004A5887" w:rsidRPr="00144851" w:rsidRDefault="004A5887" w:rsidP="002B31C6">
      <w:pPr>
        <w:pStyle w:val="BodyText"/>
        <w:widowControl w:val="0"/>
        <w:numPr>
          <w:ilvl w:val="0"/>
          <w:numId w:val="58"/>
        </w:numPr>
        <w:rPr>
          <w:sz w:val="20"/>
        </w:rPr>
      </w:pPr>
      <w:r w:rsidRPr="00144851">
        <w:rPr>
          <w:sz w:val="20"/>
        </w:rPr>
        <w:t>Turn off the selective non-catalytic reduction system.</w:t>
      </w:r>
    </w:p>
    <w:p w:rsidR="004A5887" w:rsidRPr="00144851" w:rsidRDefault="004A5887" w:rsidP="002B31C6">
      <w:pPr>
        <w:pStyle w:val="BodyText"/>
        <w:widowControl w:val="0"/>
        <w:numPr>
          <w:ilvl w:val="0"/>
          <w:numId w:val="58"/>
        </w:numPr>
        <w:rPr>
          <w:sz w:val="20"/>
        </w:rPr>
      </w:pPr>
      <w:r w:rsidRPr="00144851">
        <w:rPr>
          <w:sz w:val="20"/>
        </w:rPr>
        <w:t>Stop the grate drives.</w:t>
      </w:r>
    </w:p>
    <w:p w:rsidR="004A5887" w:rsidRPr="00144851" w:rsidRDefault="004A5887" w:rsidP="002B31C6">
      <w:pPr>
        <w:pStyle w:val="BodyText"/>
        <w:widowControl w:val="0"/>
        <w:numPr>
          <w:ilvl w:val="0"/>
          <w:numId w:val="58"/>
        </w:numPr>
        <w:rPr>
          <w:sz w:val="20"/>
        </w:rPr>
      </w:pPr>
      <w:r w:rsidRPr="00144851">
        <w:rPr>
          <w:sz w:val="20"/>
        </w:rPr>
        <w:t>Stop the primary air fans.</w:t>
      </w:r>
    </w:p>
    <w:p w:rsidR="004A5887" w:rsidRPr="00144851" w:rsidRDefault="004A5887" w:rsidP="002B31C6">
      <w:pPr>
        <w:pStyle w:val="BodyText"/>
        <w:widowControl w:val="0"/>
        <w:numPr>
          <w:ilvl w:val="0"/>
          <w:numId w:val="58"/>
        </w:numPr>
        <w:rPr>
          <w:sz w:val="20"/>
        </w:rPr>
      </w:pPr>
      <w:r w:rsidRPr="00144851">
        <w:rPr>
          <w:sz w:val="20"/>
        </w:rPr>
        <w:t>Stop the induced draft fan.</w:t>
      </w:r>
    </w:p>
    <w:p w:rsidR="004A5887" w:rsidRPr="00144851" w:rsidRDefault="004A5887" w:rsidP="002B31C6">
      <w:pPr>
        <w:pStyle w:val="BodyText"/>
        <w:widowControl w:val="0"/>
        <w:numPr>
          <w:ilvl w:val="0"/>
          <w:numId w:val="58"/>
        </w:numPr>
        <w:rPr>
          <w:sz w:val="20"/>
        </w:rPr>
      </w:pPr>
      <w:r w:rsidRPr="00144851">
        <w:rPr>
          <w:sz w:val="20"/>
        </w:rPr>
        <w:t>Shutdown the canal water pump.</w:t>
      </w:r>
    </w:p>
    <w:p w:rsidR="00AC4692" w:rsidRPr="00144851" w:rsidRDefault="00E07E38" w:rsidP="00716EE1">
      <w:pPr>
        <w:pStyle w:val="BodyText"/>
        <w:widowControl w:val="0"/>
        <w:rPr>
          <w:sz w:val="20"/>
          <w:u w:val="single"/>
        </w:rPr>
      </w:pPr>
      <w:r w:rsidRPr="00144851">
        <w:rPr>
          <w:sz w:val="20"/>
          <w:u w:val="single"/>
        </w:rPr>
        <w:t>PM Controls</w:t>
      </w:r>
    </w:p>
    <w:p w:rsidR="00E07E38" w:rsidRPr="00144851" w:rsidRDefault="00E07E38" w:rsidP="00716EE1">
      <w:pPr>
        <w:pStyle w:val="BodyText"/>
        <w:widowControl w:val="0"/>
        <w:rPr>
          <w:sz w:val="20"/>
        </w:rPr>
      </w:pPr>
      <w:r w:rsidRPr="00144851">
        <w:rPr>
          <w:sz w:val="20"/>
        </w:rPr>
        <w:t xml:space="preserve">The wet cyclone collectors will be activated before firing any fuel.  Prior to activation, the ESP will be purged with ambient air for about 30 to 60 minutes.  Distillate oil may be fired during startup prior to energizing the electrostatic precipitator (ESP).  The ESP will be on line and functioning properly before any </w:t>
      </w:r>
      <w:r w:rsidR="001B4F04" w:rsidRPr="00144851">
        <w:rPr>
          <w:sz w:val="20"/>
        </w:rPr>
        <w:t>biomass is</w:t>
      </w:r>
      <w:r w:rsidRPr="00144851">
        <w:rPr>
          <w:sz w:val="20"/>
        </w:rPr>
        <w:t xml:space="preserve"> fired.  </w:t>
      </w:r>
    </w:p>
    <w:p w:rsidR="00AC4692" w:rsidRPr="00144851" w:rsidRDefault="00E07E38" w:rsidP="00716EE1">
      <w:pPr>
        <w:pStyle w:val="BodyText"/>
        <w:widowControl w:val="0"/>
        <w:rPr>
          <w:sz w:val="20"/>
          <w:u w:val="single"/>
        </w:rPr>
      </w:pPr>
      <w:r w:rsidRPr="00144851">
        <w:rPr>
          <w:sz w:val="20"/>
          <w:u w:val="single"/>
        </w:rPr>
        <w:t>NOx Controls</w:t>
      </w:r>
    </w:p>
    <w:p w:rsidR="00BD74B1" w:rsidRPr="00144851" w:rsidRDefault="00E07E38" w:rsidP="00DC7E93">
      <w:pPr>
        <w:pStyle w:val="BodyText"/>
        <w:widowControl w:val="0"/>
        <w:rPr>
          <w:sz w:val="20"/>
        </w:rPr>
      </w:pPr>
      <w:r w:rsidRPr="00144851">
        <w:rPr>
          <w:sz w:val="20"/>
        </w:rPr>
        <w:t>When the SNCR manufacturer’s minimum operating temperature requirement is met, the SNCR system will be activated for NO</w:t>
      </w:r>
      <w:r w:rsidR="001B4F04" w:rsidRPr="00144851">
        <w:rPr>
          <w:sz w:val="20"/>
          <w:vertAlign w:val="subscript"/>
        </w:rPr>
        <w:t>X</w:t>
      </w:r>
      <w:r w:rsidRPr="00144851">
        <w:rPr>
          <w:sz w:val="20"/>
        </w:rPr>
        <w:t xml:space="preserve"> control.  For a cold startup, this temperature is generally reached within 4 - 5 hours of initial distillate oil firing.  During normal operation, the SCNR control system will automatically adjust the urea injection rate and zones to meet the specified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 xml:space="preserve">standard based on the current urea injection rate, boiler load, furnace temperature, and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emissions.  During shutdown, the SNCR system shall remain operational until the operating temperature drops</w:t>
      </w:r>
      <w:r w:rsidR="00DC7E93">
        <w:rPr>
          <w:sz w:val="20"/>
        </w:rPr>
        <w:t xml:space="preserve"> below the minimum requirement.</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30"/>
          <w:headerReference w:type="default" r:id="rId31"/>
          <w:footerReference w:type="default" r:id="rId32"/>
          <w:headerReference w:type="first" r:id="rId33"/>
          <w:pgSz w:w="12240" w:h="15840" w:code="1"/>
          <w:pgMar w:top="720" w:right="1008" w:bottom="720" w:left="1008" w:header="720" w:footer="576" w:gutter="0"/>
          <w:paperSrc w:first="7" w:other="7"/>
          <w:pgNumType w:start="1"/>
          <w:cols w:space="720"/>
        </w:sectPr>
      </w:pPr>
    </w:p>
    <w:p w:rsidR="00BA5928" w:rsidRPr="00BA5928" w:rsidRDefault="00BA5928" w:rsidP="00BA5928">
      <w:pPr>
        <w:pStyle w:val="Heading5"/>
        <w:jc w:val="left"/>
        <w:rPr>
          <w:sz w:val="20"/>
        </w:rPr>
      </w:pPr>
      <w:r w:rsidRPr="00BA5928">
        <w:rPr>
          <w:sz w:val="20"/>
        </w:rPr>
        <w:lastRenderedPageBreak/>
        <w:t>Subpart A—General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Source:</w:t>
      </w:r>
      <w:r w:rsidRPr="00BA5928">
        <w:rPr>
          <w:rFonts w:ascii="Times New Roman" w:hAnsi="Times New Roman" w:cs="Times New Roman"/>
          <w:sz w:val="20"/>
          <w:szCs w:val="20"/>
        </w:rPr>
        <w:t xml:space="preserve">   59 FR 12430, Mar. 16, 1994, unless otherwise noted. </w:t>
      </w:r>
    </w:p>
    <w:p w:rsidR="00BA5928" w:rsidRPr="00BA5928" w:rsidRDefault="00BA5928" w:rsidP="00BA5928">
      <w:pPr>
        <w:pStyle w:val="Heading5"/>
        <w:jc w:val="left"/>
        <w:rPr>
          <w:sz w:val="20"/>
        </w:rPr>
      </w:pPr>
      <w:proofErr w:type="gramStart"/>
      <w:r w:rsidRPr="00BA5928">
        <w:rPr>
          <w:sz w:val="20"/>
        </w:rPr>
        <w:t>§ 63.1   Applicability.</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a</w:t>
      </w:r>
      <w:proofErr w:type="gramEnd"/>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BA5928">
        <w:rPr>
          <w:rFonts w:ascii="Times New Roman" w:hAnsi="Times New Roman" w:cs="Times New Roman"/>
          <w:sz w:val="20"/>
          <w:szCs w:val="20"/>
        </w:rPr>
        <w:t>part</w:t>
      </w:r>
      <w:proofErr w:type="gramEnd"/>
      <w:r w:rsidRPr="00BA5928">
        <w:rPr>
          <w:rFonts w:ascii="Times New Roman" w:hAnsi="Times New Roman" w:cs="Times New Roman"/>
          <w:sz w:val="20"/>
          <w:szCs w:val="20"/>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Each relevant standard in this part 63 must identify explicitly whether each provision in this subpart A is or is not included in such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General Provisions in this subpart A do not apply to regulations developed pursuant to section 112(r) of the amended Act, unless otherwise specified in those regulations.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For the purposes of this part, time periods specified in days shall be measured in calendar days, even if the word “calendar” is absent, unless otherwise specified in an applicable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w:t>
      </w:r>
      <w:r w:rsidRPr="00BA5928">
        <w:rPr>
          <w:rFonts w:ascii="Times New Roman" w:hAnsi="Times New Roman" w:cs="Times New Roman"/>
          <w:sz w:val="20"/>
          <w:szCs w:val="20"/>
        </w:rPr>
        <w:lastRenderedPageBreak/>
        <w:t>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applicability determination for this part. </w:t>
      </w:r>
      <w:r w:rsidRPr="00BA5928">
        <w:rPr>
          <w:rFonts w:ascii="Times New Roman" w:hAnsi="Times New Roman" w:cs="Times New Roman"/>
          <w:sz w:val="20"/>
          <w:szCs w:val="20"/>
        </w:rPr>
        <w:t>(1) The provisions of this part apply to the owner or operator of any stationary source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Emits or has the potential to emit any hazardous air pollutant listed in or pursuant to section 112(b) of the Act;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ii</w:t>
      </w:r>
      <w:proofErr w:type="gramEnd"/>
      <w:r w:rsidRPr="00BA5928">
        <w:rPr>
          <w:rFonts w:ascii="Times New Roman" w:hAnsi="Times New Roman" w:cs="Times New Roman"/>
          <w:sz w:val="20"/>
          <w:szCs w:val="20"/>
        </w:rPr>
        <w:t>) Is subject to any standard, limitation, prohibition, or other federally enforceable requirement established pursuant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Applicability of this part after a relevant standard has been set under this part. </w:t>
      </w:r>
      <w:r w:rsidRPr="00BA5928">
        <w:rPr>
          <w:rFonts w:ascii="Times New Roman" w:hAnsi="Times New Roman" w:cs="Times New Roman"/>
          <w:sz w:val="20"/>
          <w:szCs w:val="20"/>
        </w:rPr>
        <w:t>(1) If a relevant standard has been established under this part, the owner or operator of an affected source must comply with the provisions of that standard and of this subpart as provided in paragraph (a)(4)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the Act will specify whether—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States will have the option to exclude area sources affected by that standard from the requirement to obtain a title V permit (i.e., the standard will exempt the category of area sources altogether from the permitting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States will have the option to defer permitting of area sources in that category until the Administrator takes rulemaking action to determine applicability of the permitting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If the Administrator promulgates an emission standard under section 112(d) or (h) of the Act that is applicable to a source subject to an emission limitation by permit established under section 112(j) of the Act, and the requirements under the section </w:t>
      </w:r>
      <w:r w:rsidRPr="00BA5928">
        <w:rPr>
          <w:rFonts w:ascii="Times New Roman" w:hAnsi="Times New Roman" w:cs="Times New Roman"/>
          <w:sz w:val="20"/>
          <w:szCs w:val="20"/>
        </w:rPr>
        <w:lastRenderedPageBreak/>
        <w:t>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16595, Apr. 5, 2002]</w:t>
      </w:r>
    </w:p>
    <w:p w:rsidR="00BA5928" w:rsidRPr="00BA5928" w:rsidRDefault="00BA5928" w:rsidP="00BA5928">
      <w:pPr>
        <w:pStyle w:val="Heading5"/>
        <w:rPr>
          <w:sz w:val="20"/>
        </w:rPr>
      </w:pPr>
      <w:r w:rsidRPr="00BA5928">
        <w:rPr>
          <w:sz w:val="20"/>
        </w:rPr>
        <w:t>§ 63.2   Definitions.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The terms used in this part are defined in the Act or in this section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Act </w:t>
      </w:r>
      <w:r w:rsidRPr="00BA5928">
        <w:rPr>
          <w:rFonts w:ascii="Times New Roman" w:hAnsi="Times New Roman" w:cs="Times New Roman"/>
          <w:sz w:val="20"/>
          <w:szCs w:val="20"/>
        </w:rPr>
        <w:t xml:space="preserve">means the Clean Air Act (42 U.S.C. 7401 et seq., as amended by Pub. </w:t>
      </w:r>
      <w:proofErr w:type="gramStart"/>
      <w:r w:rsidRPr="00BA5928">
        <w:rPr>
          <w:rFonts w:ascii="Times New Roman" w:hAnsi="Times New Roman" w:cs="Times New Roman"/>
          <w:sz w:val="20"/>
          <w:szCs w:val="20"/>
        </w:rPr>
        <w:t>L. 101–549, 104 Stat. 2399).</w:t>
      </w:r>
      <w:proofErr w:type="gramEnd"/>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i/>
          <w:iCs/>
          <w:sz w:val="20"/>
          <w:szCs w:val="20"/>
        </w:rPr>
        <w:t xml:space="preserve">Actual emissions </w:t>
      </w:r>
      <w:r w:rsidRPr="00BA5928">
        <w:rPr>
          <w:rFonts w:ascii="Times New Roman" w:hAnsi="Times New Roman" w:cs="Times New Roman"/>
          <w:sz w:val="20"/>
          <w:szCs w:val="20"/>
        </w:rPr>
        <w:t>is</w:t>
      </w:r>
      <w:proofErr w:type="gramEnd"/>
      <w:r w:rsidRPr="00BA5928">
        <w:rPr>
          <w:rFonts w:ascii="Times New Roman" w:hAnsi="Times New Roman" w:cs="Times New Roman"/>
          <w:sz w:val="20"/>
          <w:szCs w:val="20"/>
        </w:rPr>
        <w:t xml:space="preserve"> defined in subpart D of this part for the purpose of granting a compliance extension for an early reduction of hazardous air pollutants.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Administrator </w:t>
      </w:r>
      <w:r w:rsidRPr="00BA5928">
        <w:rPr>
          <w:rFonts w:ascii="Times New Roman" w:hAnsi="Times New Roman" w:cs="Times New Roman"/>
          <w:sz w:val="20"/>
          <w:szCs w:val="20"/>
        </w:rPr>
        <w:t>means the Administrator of the United States Environmental Protection Agency or his or her authorized representative (e.g., a State that has been delegated the authority to implement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Affected source, </w:t>
      </w:r>
      <w:r w:rsidRPr="00BA5928">
        <w:rPr>
          <w:rFonts w:ascii="Times New Roman" w:hAnsi="Times New Roman" w:cs="Times New Roman"/>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limitation </w:t>
      </w:r>
      <w:r w:rsidRPr="00BA5928">
        <w:rPr>
          <w:rFonts w:ascii="Times New Roman" w:hAnsi="Times New Roman" w:cs="Times New Roman"/>
          <w:sz w:val="20"/>
          <w:szCs w:val="20"/>
        </w:rPr>
        <w:t>means conditions established pursuant to sections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or 112(i)(6) of the Act by the Administrator or by a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standard </w:t>
      </w:r>
      <w:r w:rsidRPr="00BA5928">
        <w:rPr>
          <w:rFonts w:ascii="Times New Roman" w:hAnsi="Times New Roman" w:cs="Times New Roman"/>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test method </w:t>
      </w:r>
      <w:r w:rsidRPr="00BA5928">
        <w:rPr>
          <w:rFonts w:ascii="Times New Roman" w:hAnsi="Times New Roman" w:cs="Times New Roman"/>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Approved permit program </w:t>
      </w:r>
      <w:r w:rsidRPr="00BA5928">
        <w:rPr>
          <w:rFonts w:ascii="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Area source </w:t>
      </w:r>
      <w:r w:rsidRPr="00BA5928">
        <w:rPr>
          <w:rFonts w:ascii="Times New Roman" w:hAnsi="Times New Roman" w:cs="Times New Roman"/>
          <w:sz w:val="20"/>
          <w:szCs w:val="20"/>
        </w:rPr>
        <w:t>means any stationary source of hazardous air pollutants that is not a major source as defined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Commenced </w:t>
      </w:r>
      <w:r w:rsidRPr="00BA5928">
        <w:rPr>
          <w:rFonts w:ascii="Times New Roman" w:hAnsi="Times New Roman" w:cs="Times New Roman"/>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date </w:t>
      </w:r>
      <w:r w:rsidRPr="00BA5928">
        <w:rPr>
          <w:rFonts w:ascii="Times New Roman" w:hAnsi="Times New Roman" w:cs="Times New Roman"/>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schedule </w:t>
      </w:r>
      <w:r w:rsidRPr="00BA5928">
        <w:rPr>
          <w:rFonts w:ascii="Times New Roman" w:hAnsi="Times New Roman" w:cs="Times New Roman"/>
          <w:sz w:val="20"/>
          <w:szCs w:val="20"/>
        </w:rPr>
        <w:t>means: (1) In the case of an affected source that is in compliance with all applicable requirements established under this part, a statement that the source will continue to comply with such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Construction </w:t>
      </w:r>
      <w:r w:rsidRPr="00BA5928">
        <w:rPr>
          <w:rFonts w:ascii="Times New Roman" w:hAnsi="Times New Roman" w:cs="Times New Roman"/>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emission monitoring system </w:t>
      </w:r>
      <w:r w:rsidRPr="00BA5928">
        <w:rPr>
          <w:rFonts w:ascii="Times New Roman" w:hAnsi="Times New Roman" w:cs="Times New Roman"/>
          <w:sz w:val="20"/>
          <w:szCs w:val="20"/>
        </w:rPr>
        <w:t>(CEMS) means the total equipment that may be required to meet the data acquisition and availability requirements of this part, used to sample, condition (if applicable), analyze, and provide a record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monitoring system </w:t>
      </w:r>
      <w:r w:rsidRPr="00BA5928">
        <w:rPr>
          <w:rFonts w:ascii="Times New Roman" w:hAnsi="Times New Roman" w:cs="Times New Roman"/>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opacity monitoring system </w:t>
      </w:r>
      <w:r w:rsidRPr="00BA5928">
        <w:rPr>
          <w:rFonts w:ascii="Times New Roman" w:hAnsi="Times New Roman" w:cs="Times New Roman"/>
          <w:sz w:val="20"/>
          <w:szCs w:val="20"/>
        </w:rPr>
        <w:t>(COMS) means a continuous monitoring system that measures the opacity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parameter monitoring system </w:t>
      </w:r>
      <w:r w:rsidRPr="00BA5928">
        <w:rPr>
          <w:rFonts w:ascii="Times New Roman" w:hAnsi="Times New Roman" w:cs="Times New Roman"/>
          <w:sz w:val="20"/>
          <w:szCs w:val="20"/>
        </w:rPr>
        <w:t>means the total equipment that may be required to meet the data acquisition and availability requirements of this part, used to sample, condition (if applicable), analyze, and provide a record of process or control system parameters.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Effective date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With regard to an emission standard established under this part, the date of promulgation in </w:t>
      </w:r>
      <w:proofErr w:type="gramStart"/>
      <w:r w:rsidRPr="00BA5928">
        <w:rPr>
          <w:rFonts w:ascii="Times New Roman" w:hAnsi="Times New Roman" w:cs="Times New Roman"/>
          <w:sz w:val="20"/>
          <w:szCs w:val="20"/>
        </w:rPr>
        <w:t>the  Federal</w:t>
      </w:r>
      <w:proofErr w:type="gramEnd"/>
      <w:r w:rsidRPr="00BA5928">
        <w:rPr>
          <w:rFonts w:ascii="Times New Roman" w:hAnsi="Times New Roman" w:cs="Times New Roman"/>
          <w:sz w:val="20"/>
          <w:szCs w:val="20"/>
        </w:rPr>
        <w:t> Register  of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 standard </w:t>
      </w:r>
      <w:r w:rsidRPr="00BA5928">
        <w:rPr>
          <w:rFonts w:ascii="Times New Roman" w:hAnsi="Times New Roman" w:cs="Times New Roman"/>
          <w:sz w:val="20"/>
          <w:szCs w:val="20"/>
        </w:rPr>
        <w:t>means a national standard, limitation, prohibition, or other regulation promulgated in a subpart of this part pursuant to sections 112(d), 112(h), or 112(f)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Emissions averaging </w:t>
      </w:r>
      <w:r w:rsidRPr="00BA5928">
        <w:rPr>
          <w:rFonts w:ascii="Times New Roman" w:hAnsi="Times New Roman" w:cs="Times New Roman"/>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EPA </w:t>
      </w:r>
      <w:r w:rsidRPr="00BA5928">
        <w:rPr>
          <w:rFonts w:ascii="Times New Roman" w:hAnsi="Times New Roman" w:cs="Times New Roman"/>
          <w:sz w:val="20"/>
          <w:szCs w:val="20"/>
        </w:rPr>
        <w:t>means the United States Environmental Protection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Equivalent emission limitation </w:t>
      </w:r>
      <w:r w:rsidRPr="00BA5928">
        <w:rPr>
          <w:rFonts w:ascii="Times New Roman" w:hAnsi="Times New Roman" w:cs="Times New Roman"/>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Excess emissions and continuous monitoring system performance report </w:t>
      </w:r>
      <w:r w:rsidRPr="00BA5928">
        <w:rPr>
          <w:rFonts w:ascii="Times New Roman" w:hAnsi="Times New Roman" w:cs="Times New Roman"/>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Existing source </w:t>
      </w:r>
      <w:r w:rsidRPr="00BA5928">
        <w:rPr>
          <w:rFonts w:ascii="Times New Roman" w:hAnsi="Times New Roman" w:cs="Times New Roman"/>
          <w:sz w:val="20"/>
          <w:szCs w:val="20"/>
        </w:rPr>
        <w:t>means any affected source that is not a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Federally enforceable </w:t>
      </w:r>
      <w:r w:rsidRPr="00BA5928">
        <w:rPr>
          <w:rFonts w:ascii="Times New Roman" w:hAnsi="Times New Roman" w:cs="Times New Roman"/>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standards, alternative emission standards, alternative emission limitations, and equivalent emission limitations established pursuant to section 112 of the Act 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New source performance standards established pursuant to section 111 of the Act, and emission standards established pursuant to section 112 of the Act before it was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terms and conditions in a title V permit, including any provisions that limit a source's potential to emit, unless expressly designated as not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Limitations and conditions that are part of an approved State Implementation Plan (SIP) or a Federal Implementation Plan (FIP);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Limitations and conditions that are part of a Federal construction permit issued under 40 CFR 52.21 or any construction permit issued under regulations approved by the EPA in accordance with 40 CFR </w:t>
      </w:r>
      <w:proofErr w:type="gramStart"/>
      <w:r w:rsidRPr="00BA5928">
        <w:rPr>
          <w:rFonts w:ascii="Times New Roman" w:hAnsi="Times New Roman" w:cs="Times New Roman"/>
          <w:sz w:val="20"/>
          <w:szCs w:val="20"/>
        </w:rPr>
        <w:t>part</w:t>
      </w:r>
      <w:proofErr w:type="gramEnd"/>
      <w:r w:rsidRPr="00BA5928">
        <w:rPr>
          <w:rFonts w:ascii="Times New Roman" w:hAnsi="Times New Roman" w:cs="Times New Roman"/>
          <w:sz w:val="20"/>
          <w:szCs w:val="20"/>
        </w:rPr>
        <w:t xml:space="preserve"> 51;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Limitations and conditions that are part of an operating permit where the permit and the permitting program pursuant to which it was issued meet all of the following criteria: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operating permit program has been submitted to and approved by EPA into a State implementation plan (SIP) under section 110 of the CAA;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The</w:t>
      </w:r>
      <w:proofErr w:type="gramEnd"/>
      <w:r w:rsidRPr="00BA5928">
        <w:rPr>
          <w:rFonts w:ascii="Times New Roman" w:hAnsi="Times New Roman" w:cs="Times New Roman"/>
          <w:sz w:val="20"/>
          <w:szCs w:val="20"/>
        </w:rPr>
        <w:t xml:space="preserve"> limitations, controls, and requirements in the permit in question are permanent, quantifiable, and otherwise enforceable as a practical matter;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permit in question was issued only after adequate and timely notice and opportunity for comment for EPA and the public.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Limitations and conditions in a State rule or program that has been approved by the EPA under subpart E of this part for the purposes of implementing and enforcing section 112;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Individual consent agreements that the EPA has legal authority to create.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Fixed capital cost </w:t>
      </w:r>
      <w:r w:rsidRPr="00BA5928">
        <w:rPr>
          <w:rFonts w:ascii="Times New Roman" w:hAnsi="Times New Roman" w:cs="Times New Roman"/>
          <w:sz w:val="20"/>
          <w:szCs w:val="20"/>
        </w:rPr>
        <w:t>means the capital needed to provide all the depreciable components of an existing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Force majeure </w:t>
      </w:r>
      <w:r w:rsidRPr="00BA5928">
        <w:rPr>
          <w:rFonts w:ascii="Times New Roman" w:hAnsi="Times New Roman" w:cs="Times New Roman"/>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i/>
          <w:iCs/>
          <w:sz w:val="20"/>
          <w:szCs w:val="20"/>
        </w:rPr>
        <w:t xml:space="preserve">Fugitive emissions </w:t>
      </w:r>
      <w:r w:rsidRPr="00BA5928">
        <w:rPr>
          <w:rFonts w:ascii="Times New Roman" w:hAnsi="Times New Roman" w:cs="Times New Roman"/>
          <w:sz w:val="20"/>
          <w:szCs w:val="20"/>
        </w:rPr>
        <w:t>means</w:t>
      </w:r>
      <w:proofErr w:type="gramEnd"/>
      <w:r w:rsidRPr="00BA5928">
        <w:rPr>
          <w:rFonts w:ascii="Times New Roman" w:hAnsi="Times New Roman" w:cs="Times New Roman"/>
          <w:sz w:val="20"/>
          <w:szCs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Hazardous air pollutant </w:t>
      </w:r>
      <w:r w:rsidRPr="00BA5928">
        <w:rPr>
          <w:rFonts w:ascii="Times New Roman" w:hAnsi="Times New Roman" w:cs="Times New Roman"/>
          <w:sz w:val="20"/>
          <w:szCs w:val="20"/>
        </w:rPr>
        <w:t>means any air pollutant listed in or pursuant to section 112(b)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Issuance </w:t>
      </w:r>
      <w:r w:rsidRPr="00BA5928">
        <w:rPr>
          <w:rFonts w:ascii="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Major source </w:t>
      </w:r>
      <w:r w:rsidRPr="00BA5928">
        <w:rPr>
          <w:rFonts w:ascii="Times New Roman" w:hAnsi="Times New Roman" w:cs="Times New Roman"/>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Malfunction </w:t>
      </w:r>
      <w:r w:rsidRPr="00BA5928">
        <w:rPr>
          <w:rFonts w:ascii="Times New Roman" w:hAnsi="Times New Roman" w:cs="Times New Roman"/>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Monitoring </w:t>
      </w:r>
      <w:r w:rsidRPr="00BA5928">
        <w:rPr>
          <w:rFonts w:ascii="Times New Roman" w:hAnsi="Times New Roman" w:cs="Times New Roman"/>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 operational parametric values that correspond to process or control device (and capture system) efficiencies or emissions rates, and recorded findings of inspection of work </w:t>
      </w:r>
      <w:r w:rsidRPr="00BA5928">
        <w:rPr>
          <w:rFonts w:ascii="Times New Roman" w:hAnsi="Times New Roman" w:cs="Times New Roman"/>
          <w:sz w:val="20"/>
          <w:szCs w:val="20"/>
        </w:rPr>
        <w:lastRenderedPageBreak/>
        <w:t>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affected source </w:t>
      </w:r>
      <w:r w:rsidRPr="00BA5928">
        <w:rPr>
          <w:rFonts w:ascii="Times New Roman" w:hAnsi="Times New Roman" w:cs="Times New Roman"/>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reduction impacts of controlling individual sources versus groups of sources;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Cost effectiveness of controlling individual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Flexibility to accommodate common control strategies;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Cost/benefits of emissions averaging;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Incentives for pollution prevention;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Feasibility and cost of controlling processes that share common equipment (e.g., product recovery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Feasibility and cost of monitoring;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Other relevant factors.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source </w:t>
      </w:r>
      <w:r w:rsidRPr="00BA5928">
        <w:rPr>
          <w:rFonts w:ascii="Times New Roman" w:hAnsi="Times New Roman" w:cs="Times New Roman"/>
          <w:sz w:val="20"/>
          <w:szCs w:val="20"/>
        </w:rPr>
        <w:t>means any affected source the construction or reconstruction of which is commenced after the Administrator first proposes a relevant emission standard under this part establishing an emission standard applicable to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One-hour period, </w:t>
      </w:r>
      <w:r w:rsidRPr="00BA5928">
        <w:rPr>
          <w:rFonts w:ascii="Times New Roman" w:hAnsi="Times New Roman" w:cs="Times New Roman"/>
          <w:sz w:val="20"/>
          <w:szCs w:val="20"/>
        </w:rPr>
        <w:t>unless otherwise defined in an applicable subpart, means any 60-minute period commencing on the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Opacity </w:t>
      </w:r>
      <w:r w:rsidRPr="00BA5928">
        <w:rPr>
          <w:rFonts w:ascii="Times New Roman" w:hAnsi="Times New Roman" w:cs="Times New Roman"/>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Owner or operator </w:t>
      </w:r>
      <w:r w:rsidRPr="00BA5928">
        <w:rPr>
          <w:rFonts w:ascii="Times New Roman" w:hAnsi="Times New Roman" w:cs="Times New Roman"/>
          <w:sz w:val="20"/>
          <w:szCs w:val="20"/>
        </w:rPr>
        <w:t xml:space="preserve">means any person who </w:t>
      </w:r>
      <w:proofErr w:type="gramStart"/>
      <w:r w:rsidRPr="00BA5928">
        <w:rPr>
          <w:rFonts w:ascii="Times New Roman" w:hAnsi="Times New Roman" w:cs="Times New Roman"/>
          <w:sz w:val="20"/>
          <w:szCs w:val="20"/>
        </w:rPr>
        <w:t>owns,</w:t>
      </w:r>
      <w:proofErr w:type="gramEnd"/>
      <w:r w:rsidRPr="00BA5928">
        <w:rPr>
          <w:rFonts w:ascii="Times New Roman" w:hAnsi="Times New Roman" w:cs="Times New Roman"/>
          <w:sz w:val="20"/>
          <w:szCs w:val="20"/>
        </w:rPr>
        <w:t xml:space="preserve"> leases, operates, controls, or supervises a stationary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audit </w:t>
      </w:r>
      <w:r w:rsidRPr="00BA5928">
        <w:rPr>
          <w:rFonts w:ascii="Times New Roman" w:hAnsi="Times New Roman" w:cs="Times New Roman"/>
          <w:sz w:val="20"/>
          <w:szCs w:val="20"/>
        </w:rPr>
        <w:t>means a procedure to analyze blind samples, the content of which is known by the Administrator, simultaneously with the analysis of performance test samples in order to provide a measure of test data quality.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evaluation </w:t>
      </w:r>
      <w:r w:rsidRPr="00BA5928">
        <w:rPr>
          <w:rFonts w:ascii="Times New Roman" w:hAnsi="Times New Roman" w:cs="Times New Roman"/>
          <w:sz w:val="20"/>
          <w:szCs w:val="20"/>
        </w:rPr>
        <w:t>means the conduct of relative accuracy testing, calibration error testing, and other measurements used in validating the continuous monitoring system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test </w:t>
      </w:r>
      <w:r w:rsidRPr="00BA5928">
        <w:rPr>
          <w:rFonts w:ascii="Times New Roman" w:hAnsi="Times New Roman" w:cs="Times New Roman"/>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modification </w:t>
      </w:r>
      <w:r w:rsidRPr="00BA5928">
        <w:rPr>
          <w:rFonts w:ascii="Times New Roman" w:hAnsi="Times New Roman" w:cs="Times New Roman"/>
          <w:sz w:val="20"/>
          <w:szCs w:val="20"/>
        </w:rPr>
        <w:t>means a change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program </w:t>
      </w:r>
      <w:r w:rsidRPr="00BA5928">
        <w:rPr>
          <w:rFonts w:ascii="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revision </w:t>
      </w:r>
      <w:r w:rsidRPr="00BA5928">
        <w:rPr>
          <w:rFonts w:ascii="Times New Roman" w:hAnsi="Times New Roman" w:cs="Times New Roman"/>
          <w:sz w:val="20"/>
          <w:szCs w:val="20"/>
        </w:rPr>
        <w:t>means any permit modification or administrative permit amendment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Permitting authority </w:t>
      </w:r>
      <w:r w:rsidRPr="00BA5928">
        <w:rPr>
          <w:rFonts w:ascii="Times New Roman" w:hAnsi="Times New Roman" w:cs="Times New Roman"/>
          <w:sz w:val="20"/>
          <w:szCs w:val="20"/>
        </w:rPr>
        <w:t>means: (1) The State air pollution control agency, local agency, other State agency, or other agency authorized by the Administrator to carry out a permit program under part 70 of this chapter;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The Administrator, in the case of EPA-implemented </w:t>
      </w:r>
      <w:proofErr w:type="gramStart"/>
      <w:r w:rsidRPr="00BA5928">
        <w:rPr>
          <w:rFonts w:ascii="Times New Roman" w:hAnsi="Times New Roman" w:cs="Times New Roman"/>
          <w:sz w:val="20"/>
          <w:szCs w:val="20"/>
        </w:rPr>
        <w:t>permit</w:t>
      </w:r>
      <w:proofErr w:type="gramEnd"/>
      <w:r w:rsidRPr="00BA5928">
        <w:rPr>
          <w:rFonts w:ascii="Times New Roman" w:hAnsi="Times New Roman" w:cs="Times New Roman"/>
          <w:sz w:val="20"/>
          <w:szCs w:val="20"/>
        </w:rPr>
        <w:t xml:space="preserve"> programs under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Pollution Prevention </w:t>
      </w:r>
      <w:r w:rsidRPr="00BA5928">
        <w:rPr>
          <w:rFonts w:ascii="Times New Roman" w:hAnsi="Times New Roman" w:cs="Times New Roman"/>
          <w:sz w:val="20"/>
          <w:szCs w:val="20"/>
        </w:rPr>
        <w:t xml:space="preserve">means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as defined under the Pollution Prevention Act (42 U.S.C. 13101–13109). The definition is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is any practice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Reduces the amount of any hazardous substance, pollutant, or contaminant entering any waste stream or otherwise released into the environment (including fugitive emissions) prior to recycling, treatment, or disposal;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Reduces the hazards to public health and the environment associated with the release of such substances, pollutants, or contaminants.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includes equipment or technology modifications, process or procedure modifications, reformulation or redesign of products, substitution of raw materials, and improvements in housekeeping, maintenance, training, or inventory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Potential to emit </w:t>
      </w:r>
      <w:r w:rsidRPr="00BA5928">
        <w:rPr>
          <w:rFonts w:ascii="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Reconstruction, </w:t>
      </w:r>
      <w:r w:rsidRPr="00BA5928">
        <w:rPr>
          <w:rFonts w:ascii="Times New Roman" w:hAnsi="Times New Roman" w:cs="Times New Roman"/>
          <w:sz w:val="20"/>
          <w:szCs w:val="20"/>
        </w:rPr>
        <w:t>unless otherwise defined in a relevant standard, means the replacement of components of an affected or a previously nonaffected source to such an extent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fixed capital cost of the new components exceeds 50 percent of the fixed capital cost that would be required to construct a comparable new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Regulation promulgation schedule </w:t>
      </w:r>
      <w:r w:rsidRPr="00BA5928">
        <w:rPr>
          <w:rFonts w:ascii="Times New Roman" w:hAnsi="Times New Roman" w:cs="Times New Roman"/>
          <w:sz w:val="20"/>
          <w:szCs w:val="20"/>
        </w:rPr>
        <w:t xml:space="preserve">means the schedule for the promulgation of emission standards under this part, established by the Administrator pursuant to section 112(e) of the Act and published in </w:t>
      </w:r>
      <w:proofErr w:type="gramStart"/>
      <w:r w:rsidRPr="00BA5928">
        <w:rPr>
          <w:rFonts w:ascii="Times New Roman" w:hAnsi="Times New Roman" w:cs="Times New Roman"/>
          <w:sz w:val="20"/>
          <w:szCs w:val="20"/>
        </w:rPr>
        <w:t>the  Federal</w:t>
      </w:r>
      <w:proofErr w:type="gramEnd"/>
      <w:r w:rsidRPr="00BA5928">
        <w:rPr>
          <w:rFonts w:ascii="Times New Roman" w:hAnsi="Times New Roman" w:cs="Times New Roman"/>
          <w:sz w:val="20"/>
          <w:szCs w:val="20"/>
        </w:rPr>
        <w:t> Register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Relevant standard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alternative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alternative emission limitation;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Responsible official </w:t>
      </w:r>
      <w:r w:rsidRPr="00BA5928">
        <w:rPr>
          <w:rFonts w:ascii="Times New Roman" w:hAnsi="Times New Roman" w:cs="Times New Roman"/>
          <w:sz w:val="20"/>
          <w:szCs w:val="20"/>
        </w:rPr>
        <w:t>means one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facilities employ more than 250 persons or have gross annual sales or expenditures exceeding $25 million (in second quarter 1980 dollars);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delegation of authority to such representative is approved in advance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 partnership or sole proprietorship: a general partner or the proprietor, respectively.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lastRenderedPageBreak/>
        <w:t xml:space="preserve">Run </w:t>
      </w:r>
      <w:r w:rsidRPr="00BA5928">
        <w:rPr>
          <w:rFonts w:ascii="Times New Roman" w:hAnsi="Times New Roman" w:cs="Times New Roman"/>
          <w:sz w:val="20"/>
          <w:szCs w:val="20"/>
        </w:rPr>
        <w:t>means one of a series of emission or other measurements needed to determine emissions for a representative operating period or cycle as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Shutdown </w:t>
      </w:r>
      <w:r w:rsidRPr="00BA5928">
        <w:rPr>
          <w:rFonts w:ascii="Times New Roman" w:hAnsi="Times New Roman" w:cs="Times New Roman"/>
          <w:sz w:val="20"/>
          <w:szCs w:val="20"/>
        </w:rPr>
        <w:t>means the cessation of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Six-minute period </w:t>
      </w:r>
      <w:r w:rsidRPr="00BA5928">
        <w:rPr>
          <w:rFonts w:ascii="Times New Roman" w:hAnsi="Times New Roman" w:cs="Times New Roman"/>
          <w:sz w:val="20"/>
          <w:szCs w:val="20"/>
        </w:rPr>
        <w:t>means, with respect to opacity determinations, any one of the 10 equal parts of a 1-hour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Source at a Performance Track member facility </w:t>
      </w:r>
      <w:r w:rsidRPr="00BA5928">
        <w:rPr>
          <w:rFonts w:ascii="Times New Roman" w:hAnsi="Times New Roman" w:cs="Times New Roman"/>
          <w:sz w:val="20"/>
          <w:szCs w:val="20"/>
        </w:rPr>
        <w:t xml:space="preserve">means a major or area source located at a facility which has been accepted by EPA for membership in the Performance Track Program (as described at </w:t>
      </w:r>
      <w:r w:rsidRPr="00BA5928">
        <w:rPr>
          <w:rFonts w:ascii="Times New Roman" w:hAnsi="Times New Roman" w:cs="Times New Roman"/>
          <w:i/>
          <w:iCs/>
          <w:sz w:val="20"/>
          <w:szCs w:val="20"/>
        </w:rPr>
        <w:t>www.epa.gov/</w:t>
      </w:r>
      <w:proofErr w:type="gramStart"/>
      <w:r w:rsidRPr="00BA5928">
        <w:rPr>
          <w:rFonts w:ascii="Times New Roman" w:hAnsi="Times New Roman" w:cs="Times New Roman"/>
          <w:i/>
          <w:iCs/>
          <w:sz w:val="20"/>
          <w:szCs w:val="20"/>
        </w:rPr>
        <w:t xml:space="preserve">PerformanceTrack </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i/>
          <w:iCs/>
          <w:sz w:val="20"/>
          <w:szCs w:val="20"/>
        </w:rPr>
        <w:t xml:space="preserve">Standard conditions </w:t>
      </w:r>
      <w:r w:rsidRPr="00BA5928">
        <w:rPr>
          <w:rFonts w:ascii="Times New Roman" w:hAnsi="Times New Roman" w:cs="Times New Roman"/>
          <w:sz w:val="20"/>
          <w:szCs w:val="20"/>
        </w:rPr>
        <w:t>means a temperature of 293 K (68 °F) and a pressure of 101.3 kilopascals (29.92 in.</w:t>
      </w:r>
      <w:proofErr w:type="gramEnd"/>
      <w:r w:rsidRPr="00BA5928">
        <w:rPr>
          <w:rFonts w:ascii="Times New Roman" w:hAnsi="Times New Roman" w:cs="Times New Roman"/>
          <w:sz w:val="20"/>
          <w:szCs w:val="20"/>
        </w:rPr>
        <w:t xml:space="preserve"> </w:t>
      </w:r>
      <w:proofErr w:type="gramStart"/>
      <w:r w:rsidRPr="00BA5928">
        <w:rPr>
          <w:rFonts w:ascii="Times New Roman" w:hAnsi="Times New Roman" w:cs="Times New Roman"/>
          <w:sz w:val="20"/>
          <w:szCs w:val="20"/>
        </w:rPr>
        <w:t>Hg).</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Startup </w:t>
      </w:r>
      <w:r w:rsidRPr="00BA5928">
        <w:rPr>
          <w:rFonts w:ascii="Times New Roman" w:hAnsi="Times New Roman" w:cs="Times New Roman"/>
          <w:sz w:val="20"/>
          <w:szCs w:val="20"/>
        </w:rPr>
        <w:t>means the setting in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State </w:t>
      </w:r>
      <w:r w:rsidRPr="00BA5928">
        <w:rPr>
          <w:rFonts w:ascii="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source </w:t>
      </w:r>
      <w:r w:rsidRPr="00BA5928">
        <w:rPr>
          <w:rFonts w:ascii="Times New Roman" w:hAnsi="Times New Roman" w:cs="Times New Roman"/>
          <w:sz w:val="20"/>
          <w:szCs w:val="20"/>
        </w:rPr>
        <w:t>means any building, structure, facility, or installation which emits or may emit any air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Test method </w:t>
      </w:r>
      <w:r w:rsidRPr="00BA5928">
        <w:rPr>
          <w:rFonts w:ascii="Times New Roman" w:hAnsi="Times New Roman" w:cs="Times New Roman"/>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Title V permit </w:t>
      </w:r>
      <w:r w:rsidRPr="00BA5928">
        <w:rPr>
          <w:rFonts w:ascii="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Visible emission </w:t>
      </w:r>
      <w:r w:rsidRPr="00BA5928">
        <w:rPr>
          <w:rFonts w:ascii="Times New Roman" w:hAnsi="Times New Roman" w:cs="Times New Roman"/>
          <w:sz w:val="20"/>
          <w:szCs w:val="20"/>
        </w:rPr>
        <w:t>means the observation of an emission of opacity or optical density above the threshold of 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Working day </w:t>
      </w:r>
      <w:r w:rsidRPr="00BA5928">
        <w:rPr>
          <w:rFonts w:ascii="Times New Roman" w:hAnsi="Times New Roman" w:cs="Times New Roman"/>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16596, Apr. 5, 2002; 68 FR 32600, May 30, 2003; 69 FR 21752, Apr. 22, 2004; 72 FR 27443, May 16, 2007]</w:t>
      </w:r>
    </w:p>
    <w:p w:rsidR="00BA5928" w:rsidRPr="00BA5928" w:rsidRDefault="00BA5928" w:rsidP="00BA5928">
      <w:pPr>
        <w:pStyle w:val="Heading5"/>
        <w:jc w:val="left"/>
        <w:rPr>
          <w:sz w:val="20"/>
        </w:rPr>
      </w:pPr>
      <w:r w:rsidRPr="00BA5928">
        <w:rPr>
          <w:sz w:val="20"/>
        </w:rPr>
        <w:t>§ 63.3   Units and abbreviations.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Used in this part are abbreviations and symbols of units of measure. These are defined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System International (SI)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 ampere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 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Hz = hertz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J = joule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degree Kelvin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kg</w:t>
      </w:r>
      <w:proofErr w:type="gramEnd"/>
      <w:r w:rsidRPr="00BA5928">
        <w:rPr>
          <w:rFonts w:ascii="Times New Roman" w:hAnsi="Times New Roman" w:cs="Times New Roman"/>
          <w:sz w:val="20"/>
          <w:szCs w:val="20"/>
        </w:rPr>
        <w:t xml:space="preserve"> = kilogram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 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meter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mg</w:t>
      </w:r>
      <w:proofErr w:type="gramEnd"/>
      <w:r w:rsidRPr="00BA5928">
        <w:rPr>
          <w:rFonts w:ascii="Times New Roman" w:hAnsi="Times New Roman" w:cs="Times New Roman"/>
          <w:sz w:val="20"/>
          <w:szCs w:val="20"/>
        </w:rPr>
        <w:t xml:space="preserve"> = milligram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ml</w:t>
      </w:r>
      <w:proofErr w:type="gramEnd"/>
      <w:r w:rsidRPr="00BA5928">
        <w:rPr>
          <w:rFonts w:ascii="Times New Roman" w:hAnsi="Times New Roman" w:cs="Times New Roman"/>
          <w:sz w:val="20"/>
          <w:szCs w:val="20"/>
        </w:rPr>
        <w:t xml:space="preserve"> = milliliter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mm</w:t>
      </w:r>
      <w:proofErr w:type="gramEnd"/>
      <w:r w:rsidRPr="00BA5928">
        <w:rPr>
          <w:rFonts w:ascii="Times New Roman" w:hAnsi="Times New Roman" w:cs="Times New Roman"/>
          <w:sz w:val="20"/>
          <w:szCs w:val="20"/>
        </w:rPr>
        <w:t xml:space="preserve"> = millimeter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Mg = megagram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gram = metric ton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MJ = megajoule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mol</w:t>
      </w:r>
      <w:proofErr w:type="gramEnd"/>
      <w:r w:rsidRPr="00BA5928">
        <w:rPr>
          <w:rFonts w:ascii="Times New Roman" w:hAnsi="Times New Roman" w:cs="Times New Roman"/>
          <w:sz w:val="20"/>
          <w:szCs w:val="20"/>
        </w:rPr>
        <w:t xml:space="preserve"> = mole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newton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ng</w:t>
      </w:r>
      <w:proofErr w:type="gramEnd"/>
      <w:r w:rsidRPr="00BA5928">
        <w:rPr>
          <w:rFonts w:ascii="Times New Roman" w:hAnsi="Times New Roman" w:cs="Times New Roman"/>
          <w:sz w:val="20"/>
          <w:szCs w:val="20"/>
        </w:rPr>
        <w:t xml:space="preserve"> = nanogram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nm</w:t>
      </w:r>
      <w:proofErr w:type="gramEnd"/>
      <w:r w:rsidRPr="00BA5928">
        <w:rPr>
          <w:rFonts w:ascii="Times New Roman" w:hAnsi="Times New Roman" w:cs="Times New Roman"/>
          <w:sz w:val="20"/>
          <w:szCs w:val="20"/>
        </w:rPr>
        <w:t xml:space="preserve"> = nanometer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Pa = pascal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 = second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 volt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 = watt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Ω = ohm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µg = microgram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µl = microliter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Other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Btu = British thermal unit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 degree Celsius (centigrade)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cal</w:t>
      </w:r>
      <w:proofErr w:type="gramEnd"/>
      <w:r w:rsidRPr="00BA5928">
        <w:rPr>
          <w:rFonts w:ascii="Times New Roman" w:hAnsi="Times New Roman" w:cs="Times New Roman"/>
          <w:sz w:val="20"/>
          <w:szCs w:val="20"/>
        </w:rPr>
        <w:t xml:space="preserve"> = calorie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cfm</w:t>
      </w:r>
      <w:proofErr w:type="gramEnd"/>
      <w:r w:rsidRPr="00BA5928">
        <w:rPr>
          <w:rFonts w:ascii="Times New Roman" w:hAnsi="Times New Roman" w:cs="Times New Roman"/>
          <w:sz w:val="20"/>
          <w:szCs w:val="20"/>
        </w:rPr>
        <w:t xml:space="preserve"> = cubic feet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cc = cubic centimeter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cu</w:t>
      </w:r>
      <w:proofErr w:type="gramEnd"/>
      <w:r w:rsidRPr="00BA5928">
        <w:rPr>
          <w:rFonts w:ascii="Times New Roman" w:hAnsi="Times New Roman" w:cs="Times New Roman"/>
          <w:sz w:val="20"/>
          <w:szCs w:val="20"/>
        </w:rPr>
        <w:t xml:space="preserve"> ft =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 day</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dcf</w:t>
      </w:r>
      <w:proofErr w:type="gramEnd"/>
      <w:r w:rsidRPr="00BA5928">
        <w:rPr>
          <w:rFonts w:ascii="Times New Roman" w:hAnsi="Times New Roman" w:cs="Times New Roman"/>
          <w:sz w:val="20"/>
          <w:szCs w:val="20"/>
        </w:rPr>
        <w:t xml:space="preserve"> = dry cubic feet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dcm</w:t>
      </w:r>
      <w:proofErr w:type="gramEnd"/>
      <w:r w:rsidRPr="00BA5928">
        <w:rPr>
          <w:rFonts w:ascii="Times New Roman" w:hAnsi="Times New Roman" w:cs="Times New Roman"/>
          <w:sz w:val="20"/>
          <w:szCs w:val="20"/>
        </w:rPr>
        <w:t xml:space="preserve"> = dry cubic meter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dscf</w:t>
      </w:r>
      <w:proofErr w:type="gramEnd"/>
      <w:r w:rsidRPr="00BA5928">
        <w:rPr>
          <w:rFonts w:ascii="Times New Roman" w:hAnsi="Times New Roman" w:cs="Times New Roman"/>
          <w:sz w:val="20"/>
          <w:szCs w:val="20"/>
        </w:rPr>
        <w:t xml:space="preserve"> = dry cubic feet at standard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dscm</w:t>
      </w:r>
      <w:proofErr w:type="gramEnd"/>
      <w:r w:rsidRPr="00BA5928">
        <w:rPr>
          <w:rFonts w:ascii="Times New Roman" w:hAnsi="Times New Roman" w:cs="Times New Roman"/>
          <w:sz w:val="20"/>
          <w:szCs w:val="20"/>
        </w:rPr>
        <w:t xml:space="preserve"> = dry cubic meter at standard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eq</w:t>
      </w:r>
      <w:proofErr w:type="gramEnd"/>
      <w:r w:rsidRPr="00BA5928">
        <w:rPr>
          <w:rFonts w:ascii="Times New Roman" w:hAnsi="Times New Roman" w:cs="Times New Roman"/>
          <w:sz w:val="20"/>
          <w:szCs w:val="20"/>
        </w:rPr>
        <w:t xml:space="preserve"> = 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degree Fahrenheit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ft</w:t>
      </w:r>
      <w:proofErr w:type="gramEnd"/>
      <w:r w:rsidRPr="00BA5928">
        <w:rPr>
          <w:rFonts w:ascii="Times New Roman" w:hAnsi="Times New Roman" w:cs="Times New Roman"/>
          <w:sz w:val="20"/>
          <w:szCs w:val="20"/>
        </w:rPr>
        <w:t xml:space="preserve"> =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feet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gal</w:t>
      </w:r>
      <w:proofErr w:type="gramEnd"/>
      <w:r w:rsidRPr="00BA5928">
        <w:rPr>
          <w:rFonts w:ascii="Times New Roman" w:hAnsi="Times New Roman" w:cs="Times New Roman"/>
          <w:sz w:val="20"/>
          <w:szCs w:val="20"/>
        </w:rPr>
        <w:t xml:space="preserve"> = gallon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gr</w:t>
      </w:r>
      <w:proofErr w:type="gramEnd"/>
      <w:r w:rsidRPr="00BA5928">
        <w:rPr>
          <w:rFonts w:ascii="Times New Roman" w:hAnsi="Times New Roman" w:cs="Times New Roman"/>
          <w:sz w:val="20"/>
          <w:szCs w:val="20"/>
        </w:rPr>
        <w:t xml:space="preserve"> = grain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g-eq</w:t>
      </w:r>
      <w:proofErr w:type="gramEnd"/>
      <w:r w:rsidRPr="00BA5928">
        <w:rPr>
          <w:rFonts w:ascii="Times New Roman" w:hAnsi="Times New Roman" w:cs="Times New Roman"/>
          <w:sz w:val="20"/>
          <w:szCs w:val="20"/>
        </w:rPr>
        <w:t xml:space="preserve"> = gram equivalent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g-mole</w:t>
      </w:r>
      <w:proofErr w:type="gramEnd"/>
      <w:r w:rsidRPr="00BA5928">
        <w:rPr>
          <w:rFonts w:ascii="Times New Roman" w:hAnsi="Times New Roman" w:cs="Times New Roman"/>
          <w:sz w:val="20"/>
          <w:szCs w:val="20"/>
        </w:rPr>
        <w:t xml:space="preserve"> = gram mole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hr</w:t>
      </w:r>
      <w:proofErr w:type="gramEnd"/>
      <w:r w:rsidRPr="00BA5928">
        <w:rPr>
          <w:rFonts w:ascii="Times New Roman" w:hAnsi="Times New Roman" w:cs="Times New Roman"/>
          <w:sz w:val="20"/>
          <w:szCs w:val="20"/>
        </w:rPr>
        <w:t xml:space="preserve"> =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in. = inch</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in</w:t>
      </w:r>
      <w:proofErr w:type="gramEnd"/>
      <w:r w:rsidRPr="00BA5928">
        <w:rPr>
          <w:rFonts w:ascii="Times New Roman" w:hAnsi="Times New Roman" w:cs="Times New Roman"/>
          <w:sz w:val="20"/>
          <w:szCs w:val="20"/>
        </w:rPr>
        <w:t>. H</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 = inches of water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1,000</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kcal</w:t>
      </w:r>
      <w:proofErr w:type="gramEnd"/>
      <w:r w:rsidRPr="00BA5928">
        <w:rPr>
          <w:rFonts w:ascii="Times New Roman" w:hAnsi="Times New Roman" w:cs="Times New Roman"/>
          <w:sz w:val="20"/>
          <w:szCs w:val="20"/>
        </w:rPr>
        <w:t xml:space="preserve"> = kilocalorie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lb</w:t>
      </w:r>
      <w:proofErr w:type="gramEnd"/>
      <w:r w:rsidRPr="00BA5928">
        <w:rPr>
          <w:rFonts w:ascii="Times New Roman" w:hAnsi="Times New Roman" w:cs="Times New Roman"/>
          <w:sz w:val="20"/>
          <w:szCs w:val="20"/>
        </w:rPr>
        <w:t xml:space="preserve"> = pound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lpm</w:t>
      </w:r>
      <w:proofErr w:type="gramEnd"/>
      <w:r w:rsidRPr="00BA5928">
        <w:rPr>
          <w:rFonts w:ascii="Times New Roman" w:hAnsi="Times New Roman" w:cs="Times New Roman"/>
          <w:sz w:val="20"/>
          <w:szCs w:val="20"/>
        </w:rPr>
        <w:t xml:space="preserve"> = liter per minute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meq</w:t>
      </w:r>
      <w:proofErr w:type="gramEnd"/>
      <w:r w:rsidRPr="00BA5928">
        <w:rPr>
          <w:rFonts w:ascii="Times New Roman" w:hAnsi="Times New Roman" w:cs="Times New Roman"/>
          <w:sz w:val="20"/>
          <w:szCs w:val="20"/>
        </w:rPr>
        <w:t xml:space="preserve"> = milliequivalent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min</w:t>
      </w:r>
      <w:proofErr w:type="gramEnd"/>
      <w:r w:rsidRPr="00BA5928">
        <w:rPr>
          <w:rFonts w:ascii="Times New Roman" w:hAnsi="Times New Roman" w:cs="Times New Roman"/>
          <w:sz w:val="20"/>
          <w:szCs w:val="20"/>
        </w:rPr>
        <w:t xml:space="preserve"> =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 = molecular weight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oz</w:t>
      </w:r>
      <w:proofErr w:type="gramEnd"/>
      <w:r w:rsidRPr="00BA5928">
        <w:rPr>
          <w:rFonts w:ascii="Times New Roman" w:hAnsi="Times New Roman" w:cs="Times New Roman"/>
          <w:sz w:val="20"/>
          <w:szCs w:val="20"/>
        </w:rPr>
        <w:t xml:space="preserve"> = ounces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ppb</w:t>
      </w:r>
      <w:proofErr w:type="gramEnd"/>
      <w:r w:rsidRPr="00BA5928">
        <w:rPr>
          <w:rFonts w:ascii="Times New Roman" w:hAnsi="Times New Roman" w:cs="Times New Roman"/>
          <w:sz w:val="20"/>
          <w:szCs w:val="20"/>
        </w:rPr>
        <w:t xml:space="preserve"> = parts per billion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ppbw</w:t>
      </w:r>
      <w:proofErr w:type="gramEnd"/>
      <w:r w:rsidRPr="00BA5928">
        <w:rPr>
          <w:rFonts w:ascii="Times New Roman" w:hAnsi="Times New Roman" w:cs="Times New Roman"/>
          <w:sz w:val="20"/>
          <w:szCs w:val="20"/>
        </w:rPr>
        <w:t xml:space="preserve"> = parts per billion by weight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ppbv</w:t>
      </w:r>
      <w:proofErr w:type="gramEnd"/>
      <w:r w:rsidRPr="00BA5928">
        <w:rPr>
          <w:rFonts w:ascii="Times New Roman" w:hAnsi="Times New Roman" w:cs="Times New Roman"/>
          <w:sz w:val="20"/>
          <w:szCs w:val="20"/>
        </w:rPr>
        <w:t xml:space="preserve"> = parts per billion by volume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ppm</w:t>
      </w:r>
      <w:proofErr w:type="gramEnd"/>
      <w:r w:rsidRPr="00BA5928">
        <w:rPr>
          <w:rFonts w:ascii="Times New Roman" w:hAnsi="Times New Roman" w:cs="Times New Roman"/>
          <w:sz w:val="20"/>
          <w:szCs w:val="20"/>
        </w:rPr>
        <w:t xml:space="preserve"> = parts per million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ppmw</w:t>
      </w:r>
      <w:proofErr w:type="gramEnd"/>
      <w:r w:rsidRPr="00BA5928">
        <w:rPr>
          <w:rFonts w:ascii="Times New Roman" w:hAnsi="Times New Roman" w:cs="Times New Roman"/>
          <w:sz w:val="20"/>
          <w:szCs w:val="20"/>
        </w:rPr>
        <w:t xml:space="preserve"> = parts per million by weight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ppmv</w:t>
      </w:r>
      <w:proofErr w:type="gramEnd"/>
      <w:r w:rsidRPr="00BA5928">
        <w:rPr>
          <w:rFonts w:ascii="Times New Roman" w:hAnsi="Times New Roman" w:cs="Times New Roman"/>
          <w:sz w:val="20"/>
          <w:szCs w:val="20"/>
        </w:rPr>
        <w:t xml:space="preserve"> = parts per million by volume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psia</w:t>
      </w:r>
      <w:proofErr w:type="gramEnd"/>
      <w:r w:rsidRPr="00BA5928">
        <w:rPr>
          <w:rFonts w:ascii="Times New Roman" w:hAnsi="Times New Roman" w:cs="Times New Roman"/>
          <w:sz w:val="20"/>
          <w:szCs w:val="20"/>
        </w:rPr>
        <w:t xml:space="preserve"> = pounds per square inch absolute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psig</w:t>
      </w:r>
      <w:proofErr w:type="gramEnd"/>
      <w:r w:rsidRPr="00BA5928">
        <w:rPr>
          <w:rFonts w:ascii="Times New Roman" w:hAnsi="Times New Roman" w:cs="Times New Roman"/>
          <w:sz w:val="20"/>
          <w:szCs w:val="20"/>
        </w:rPr>
        <w:t xml:space="preserve"> = pounds per square inch gage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°R = degree Rankine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scf</w:t>
      </w:r>
      <w:proofErr w:type="gramEnd"/>
      <w:r w:rsidRPr="00BA5928">
        <w:rPr>
          <w:rFonts w:ascii="Times New Roman" w:hAnsi="Times New Roman" w:cs="Times New Roman"/>
          <w:sz w:val="20"/>
          <w:szCs w:val="20"/>
        </w:rPr>
        <w:t xml:space="preserve"> = cubic feet at standard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scfh</w:t>
      </w:r>
      <w:proofErr w:type="gramEnd"/>
      <w:r w:rsidRPr="00BA5928">
        <w:rPr>
          <w:rFonts w:ascii="Times New Roman" w:hAnsi="Times New Roman" w:cs="Times New Roman"/>
          <w:sz w:val="20"/>
          <w:szCs w:val="20"/>
        </w:rPr>
        <w:t xml:space="preserve"> = cubic feet at standard conditions per hour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scm</w:t>
      </w:r>
      <w:proofErr w:type="gramEnd"/>
      <w:r w:rsidRPr="00BA5928">
        <w:rPr>
          <w:rFonts w:ascii="Times New Roman" w:hAnsi="Times New Roman" w:cs="Times New Roman"/>
          <w:sz w:val="20"/>
          <w:szCs w:val="20"/>
        </w:rPr>
        <w:t xml:space="preserve"> = cubic meter at standard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scmm</w:t>
      </w:r>
      <w:proofErr w:type="gramEnd"/>
      <w:r w:rsidRPr="00BA5928">
        <w:rPr>
          <w:rFonts w:ascii="Times New Roman" w:hAnsi="Times New Roman" w:cs="Times New Roman"/>
          <w:sz w:val="20"/>
          <w:szCs w:val="20"/>
        </w:rPr>
        <w:t xml:space="preserve"> = cubic meter at standard conditions per minute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sec</w:t>
      </w:r>
      <w:proofErr w:type="gramEnd"/>
      <w:r w:rsidRPr="00BA5928">
        <w:rPr>
          <w:rFonts w:ascii="Times New Roman" w:hAnsi="Times New Roman" w:cs="Times New Roman"/>
          <w:sz w:val="20"/>
          <w:szCs w:val="20"/>
        </w:rPr>
        <w:t xml:space="preserve"> = second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sq</w:t>
      </w:r>
      <w:proofErr w:type="gramEnd"/>
      <w:r w:rsidRPr="00BA5928">
        <w:rPr>
          <w:rFonts w:ascii="Times New Roman" w:hAnsi="Times New Roman" w:cs="Times New Roman"/>
          <w:sz w:val="20"/>
          <w:szCs w:val="20"/>
        </w:rPr>
        <w:t xml:space="preserve"> ft = square feet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std</w:t>
      </w:r>
      <w:proofErr w:type="gramEnd"/>
      <w:r w:rsidRPr="00BA5928">
        <w:rPr>
          <w:rFonts w:ascii="Times New Roman" w:hAnsi="Times New Roman" w:cs="Times New Roman"/>
          <w:sz w:val="20"/>
          <w:szCs w:val="20"/>
        </w:rPr>
        <w:t xml:space="preserve"> = at standard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v/v</w:t>
      </w:r>
      <w:proofErr w:type="gramEnd"/>
      <w:r w:rsidRPr="00BA5928">
        <w:rPr>
          <w:rFonts w:ascii="Times New Roman" w:hAnsi="Times New Roman" w:cs="Times New Roman"/>
          <w:sz w:val="20"/>
          <w:szCs w:val="20"/>
        </w:rPr>
        <w:t xml:space="preserve"> = volume per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yd</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yards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yr</w:t>
      </w:r>
      <w:proofErr w:type="gramEnd"/>
      <w:r w:rsidRPr="00BA5928">
        <w:rPr>
          <w:rFonts w:ascii="Times New Roman" w:hAnsi="Times New Roman" w:cs="Times New Roman"/>
          <w:sz w:val="20"/>
          <w:szCs w:val="20"/>
        </w:rPr>
        <w:t xml:space="preserve"> =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Miscellaneous: </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act</w:t>
      </w:r>
      <w:proofErr w:type="gramEnd"/>
      <w:r w:rsidRPr="00BA5928">
        <w:rPr>
          <w:rFonts w:ascii="Times New Roman" w:hAnsi="Times New Roman" w:cs="Times New Roman"/>
          <w:sz w:val="20"/>
          <w:szCs w:val="20"/>
        </w:rPr>
        <w:t xml:space="preserve"> = actual</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avg</w:t>
      </w:r>
      <w:proofErr w:type="gramEnd"/>
      <w:r w:rsidRPr="00BA5928">
        <w:rPr>
          <w:rFonts w:ascii="Times New Roman" w:hAnsi="Times New Roman" w:cs="Times New Roman"/>
          <w:sz w:val="20"/>
          <w:szCs w:val="20"/>
        </w:rPr>
        <w:t xml:space="preserve"> = average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I.D. = inside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molar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normal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O.D. = outside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63.4   Prohibited activities and circumvention.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Prohibited activities. </w:t>
      </w:r>
      <w:r w:rsidRPr="00BA5928">
        <w:rPr>
          <w:rFonts w:ascii="Times New Roman" w:hAnsi="Times New Roman" w:cs="Times New Roman"/>
          <w:sz w:val="20"/>
          <w:szCs w:val="20"/>
        </w:rPr>
        <w:t xml:space="preserve">(1) No owner or operator subject to the provisions of this part must operate any affected source in violation of the requirements of this part. Affected sources subject to and in compliance with either an extension of compliance or </w:t>
      </w:r>
      <w:proofErr w:type="gramStart"/>
      <w:r w:rsidRPr="00BA5928">
        <w:rPr>
          <w:rFonts w:ascii="Times New Roman" w:hAnsi="Times New Roman" w:cs="Times New Roman"/>
          <w:sz w:val="20"/>
          <w:szCs w:val="20"/>
        </w:rPr>
        <w:t>an exemption from compliance are</w:t>
      </w:r>
      <w:proofErr w:type="gramEnd"/>
      <w:r w:rsidRPr="00BA5928">
        <w:rPr>
          <w:rFonts w:ascii="Times New Roman" w:hAnsi="Times New Roman" w:cs="Times New Roman"/>
          <w:sz w:val="20"/>
          <w:szCs w:val="20"/>
        </w:rPr>
        <w:t xml:space="preserve"> not in violation of the requirements of this part. An extension of compliance can be granted by the Administrator under this part; by a State with an approved permit program; or by the President under section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 owner or operator subject to the provisions of this part shall fail to keep records, notify, report, or revise reports as required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Circumvention. </w:t>
      </w:r>
      <w:r w:rsidRPr="00BA5928">
        <w:rPr>
          <w:rFonts w:ascii="Times New Roman" w:hAnsi="Times New Roman" w:cs="Times New Roman"/>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use of diluents to achieve compliance with a relevant standard based on the concentration of a pollutant in the effluent discharged to the atmosphere;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use of gaseous diluents to achieve compliance with a relevant standard for visible emissions;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Fragmentation. </w:t>
      </w:r>
      <w:r w:rsidRPr="00BA5928">
        <w:rPr>
          <w:rFonts w:ascii="Times New Roman" w:hAnsi="Times New Roman" w:cs="Times New Roman"/>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63.5   Preconstruction review and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This section implements the preconstruction review requirements of section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Requirements for existing, newly constructed, and reconstructed sources. </w:t>
      </w:r>
      <w:r w:rsidRPr="00BA5928">
        <w:rPr>
          <w:rFonts w:ascii="Times New Roman" w:hAnsi="Times New Roman" w:cs="Times New Roman"/>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w:t>
      </w:r>
      <w:proofErr w:type="gramEnd"/>
      <w:r w:rsidRPr="00BA5928">
        <w:rPr>
          <w:rFonts w:ascii="Times New Roman" w:hAnsi="Times New Roman" w:cs="Times New Roman"/>
          <w:sz w:val="20"/>
          <w:szCs w:val="20"/>
        </w:rPr>
        <w:t>) Construct a new affected source that is major-emitting and subject to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Reconstruct an affected source that is major-emitting and subject to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Reconstruct a major source such that the source becomes an affected source that is major-emitting and subject to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Application for approval of construction or reconstruction. </w:t>
      </w:r>
      <w:r w:rsidRPr="00BA5928">
        <w:rPr>
          <w:rFonts w:ascii="Times New Roman" w:hAnsi="Times New Roman" w:cs="Times New Roman"/>
          <w:sz w:val="20"/>
          <w:szCs w:val="20"/>
        </w:rPr>
        <w:t>The provisions of this paragraph implement section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application requirements. </w:t>
      </w:r>
      <w:r w:rsidRPr="00BA5928">
        <w:rPr>
          <w:rFonts w:ascii="Times New Roman" w:hAnsi="Times New Roman" w:cs="Times New Roman"/>
          <w:sz w:val="20"/>
          <w:szCs w:val="20"/>
        </w:rPr>
        <w:t>(i) An owner or operator who is subject to the requirements of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separate application shall be submitted for each construction or reconstruction. Each application for approval of construction or reconstruction shall include at a minimum: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applicant's name and address;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address (i.e., physical location) or proposed address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 identification of the relevant standard that is the basis of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expected date of the beginning of actual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expected completion date of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Other information as specified in paragraphs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 and (d)(3)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owner or operator who submits estimates or preliminary information in place of the actual emissions data and analysis required in paragraphs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1)(ii)(H) and (d)(2) of this section shall submit the actual, measured emissions data and other correct information as soon as available but no later than with the notification of compliance status required in §63.9(h) (see §63.9(h)(5)).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Application for approval of construction. </w:t>
      </w:r>
      <w:r w:rsidRPr="00BA5928">
        <w:rPr>
          <w:rFonts w:ascii="Times New Roman" w:hAnsi="Times New Roman" w:cs="Times New Roman"/>
          <w:sz w:val="20"/>
          <w:szCs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BA5928">
        <w:rPr>
          <w:rFonts w:ascii="Times New Roman" w:hAnsi="Times New Roman" w:cs="Times New Roman"/>
          <w:sz w:val="20"/>
          <w:szCs w:val="20"/>
        </w:rPr>
        <w:t>an estimated</w:t>
      </w:r>
      <w:proofErr w:type="gramEnd"/>
      <w:r w:rsidRPr="00BA5928">
        <w:rPr>
          <w:rFonts w:ascii="Times New Roman" w:hAnsi="Times New Roman" w:cs="Times New Roman"/>
          <w:sz w:val="20"/>
          <w:szCs w:val="20"/>
        </w:rPr>
        <w:t xml:space="preserve"> control efficiency (percent) for that method. Such technical information must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Application for approval of reconstruction. </w:t>
      </w:r>
      <w:r w:rsidRPr="00BA5928">
        <w:rPr>
          <w:rFonts w:ascii="Times New Roman" w:hAnsi="Times New Roman" w:cs="Times New Roman"/>
          <w:sz w:val="20"/>
          <w:szCs w:val="20"/>
        </w:rPr>
        <w:t>Each application for approval of reconstruction shall include, in addition to the information required in paragraph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brief description of the affected source and the components that are to be replaced;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BA5928">
        <w:rPr>
          <w:rFonts w:ascii="Times New Roman" w:hAnsi="Times New Roman" w:cs="Times New Roman"/>
          <w:sz w:val="20"/>
          <w:szCs w:val="20"/>
        </w:rPr>
        <w:t>an estimated</w:t>
      </w:r>
      <w:proofErr w:type="gramEnd"/>
      <w:r w:rsidRPr="00BA5928">
        <w:rPr>
          <w:rFonts w:ascii="Times New Roman" w:hAnsi="Times New Roman" w:cs="Times New Roman"/>
          <w:sz w:val="20"/>
          <w:szCs w:val="20"/>
        </w:rPr>
        <w:t xml:space="preserve"> control efficiency (percent) for that method. Such technical information shall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estimate of the fixed capital cost of the replacements and of constructing a comparable entirely new source;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(iv) The</w:t>
      </w:r>
      <w:proofErr w:type="gramEnd"/>
      <w:r w:rsidRPr="00BA5928">
        <w:rPr>
          <w:rFonts w:ascii="Times New Roman" w:hAnsi="Times New Roman" w:cs="Times New Roman"/>
          <w:sz w:val="20"/>
          <w:szCs w:val="20"/>
        </w:rPr>
        <w:t xml:space="preserve"> estimated life of the affected source after the replacements;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3)(iii) through (d)(3)(v)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Additional information. </w:t>
      </w:r>
      <w:r w:rsidRPr="00BA5928">
        <w:rPr>
          <w:rFonts w:ascii="Times New Roman" w:hAnsi="Times New Roman" w:cs="Times New Roman"/>
          <w:sz w:val="20"/>
          <w:szCs w:val="20"/>
        </w:rPr>
        <w:t>The Administrator may request additional relevant information after the submittal of an application for approval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Approval of construction or reconstruction. </w:t>
      </w:r>
      <w:r w:rsidRPr="00BA5928">
        <w:rPr>
          <w:rFonts w:ascii="Times New Roman" w:hAnsi="Times New Roman" w:cs="Times New Roman"/>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addition, in the case of reconstruction, the Administrator's determination under this paragraph will be based 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fixed capital cost of the replacements in comparison to the fixed capital cost that would be required to construct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estimated life of the source after the replacements compared to the life of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extent to which the components being replaced cause or contribute to the emissions from the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Any economic or technical limitations on compliance with relevant standards </w:t>
      </w:r>
      <w:proofErr w:type="gramStart"/>
      <w:r w:rsidRPr="00BA5928">
        <w:rPr>
          <w:rFonts w:ascii="Times New Roman" w:hAnsi="Times New Roman" w:cs="Times New Roman"/>
          <w:sz w:val="20"/>
          <w:szCs w:val="20"/>
        </w:rPr>
        <w:t>that are</w:t>
      </w:r>
      <w:proofErr w:type="gramEnd"/>
      <w:r w:rsidRPr="00BA5928">
        <w:rPr>
          <w:rFonts w:ascii="Times New Roman" w:hAnsi="Times New Roman" w:cs="Times New Roman"/>
          <w:sz w:val="20"/>
          <w:szCs w:val="20"/>
        </w:rPr>
        <w:t xml:space="preserve"> inherent in the proposed replacements.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Before denying any application for approval of construction or reconstruction, the Administrator will notify the applicant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Neither the submission of an application for approval nor the Administrator's approval of construction or reconstruction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f</w:t>
      </w:r>
      <w:proofErr w:type="gramEnd"/>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Approval of construction or reconstruction based on prior State preconstruction review. </w:t>
      </w:r>
      <w:r w:rsidRPr="00BA5928">
        <w:rPr>
          <w:rFonts w:ascii="Times New Roman" w:hAnsi="Times New Roman" w:cs="Times New Roman"/>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statement from the State or other evidence (such as State regulations) that it considered the factors specified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63.6   Compliance with standards and maintenance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Administrator (or a State with an approved permit program) has granted an extension of compliance consistent with paragraph (i)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President has granted an exemption from compliance with any relevant standard in accordance with section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(b) </w:t>
      </w:r>
      <w:r w:rsidRPr="00BA5928">
        <w:rPr>
          <w:rFonts w:ascii="Times New Roman" w:hAnsi="Times New Roman" w:cs="Times New Roman"/>
          <w:i/>
          <w:iCs/>
          <w:sz w:val="20"/>
          <w:szCs w:val="20"/>
        </w:rPr>
        <w:t xml:space="preserve">Compliance dates for new and reconstructed sources. </w:t>
      </w:r>
      <w:r w:rsidRPr="00BA5928">
        <w:rPr>
          <w:rFonts w:ascii="Times New Roman" w:hAnsi="Times New Roman" w:cs="Times New Roman"/>
          <w:sz w:val="20"/>
          <w:szCs w:val="20"/>
        </w:rPr>
        <w:t>(1) Except as specified in paragraphs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specified in paragraphs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complies with the standard as proposed during the 3-year period immediately after the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source that is subject to the compliance requirements of paragraph (b)(3) or (4) of this section must notify the Administrator in accordance with §63.9(d)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Compliance dates for existing sources. </w:t>
      </w:r>
      <w:r w:rsidRPr="00BA5928">
        <w:rPr>
          <w:rFonts w:ascii="Times New Roman" w:hAnsi="Times New Roman" w:cs="Times New Roman"/>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4)(ii) of this section, whichever is later.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(5) Except as provided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Operation and maintenance requirements. </w:t>
      </w:r>
      <w:r w:rsidRPr="00BA5928">
        <w:rPr>
          <w:rFonts w:ascii="Times New Roman" w:hAnsi="Times New Roman" w:cs="Times New Roman"/>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this section), review of operation and maintenance records, and inspection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Operation and maintenance requirements established pursuant to section 112 of the Act are enforceable independent of emissions limitations or other requirements in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Startup, shutdown, and malfunction plan. </w:t>
      </w:r>
      <w:r w:rsidRPr="00BA5928">
        <w:rPr>
          <w:rFonts w:ascii="Times New Roman" w:hAnsi="Times New Roman" w:cs="Times New Roman"/>
          <w:sz w:val="20"/>
          <w:szCs w:val="20"/>
        </w:rPr>
        <w:t xml:space="preserve">(i) The owner or operator of an affected source must develop a written startup, shutdown, and </w:t>
      </w:r>
      <w:proofErr w:type="gramStart"/>
      <w:r w:rsidRPr="00BA5928">
        <w:rPr>
          <w:rFonts w:ascii="Times New Roman" w:hAnsi="Times New Roman" w:cs="Times New Roman"/>
          <w:sz w:val="20"/>
          <w:szCs w:val="20"/>
        </w:rPr>
        <w:t>malfunction</w:t>
      </w:r>
      <w:proofErr w:type="gramEnd"/>
      <w:r w:rsidRPr="00BA5928">
        <w:rPr>
          <w:rFonts w:ascii="Times New Roman" w:hAnsi="Times New Roman" w:cs="Times New Roman"/>
          <w:sz w:val="20"/>
          <w:szCs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Ensure that owners or operators are prepared to correct malfunctions as soon as practicable after their occurrence in order to minimize excess emissions of hazardous air pollutants;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Does not address a startup, shutdown, or malfunction event that has occurred;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 Does not provide adequate procedures for correcting malfunctioning process and/or air pollution control and monitoring equipment as quickly as practicable;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Includes an event that does not meet the definition of startup, shutdown, or malfunction listed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Compliance with nonopacity emission standards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performance test was conducted within a reasonable amount of time before an initial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(C) The performance test was conducted and the resulting data were reduced using EPA-approved test methods and procedures, as specified in §63.7(e) of this subpart;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performance test was appropriately quality-assured, as specified in §63.7(c).</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The</w:t>
      </w:r>
      <w:proofErr w:type="gramEnd"/>
      <w:r w:rsidRPr="00BA5928">
        <w:rPr>
          <w:rFonts w:ascii="Times New Roman" w:hAnsi="Times New Roman" w:cs="Times New Roman"/>
          <w:sz w:val="20"/>
          <w:szCs w:val="20"/>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 non-opacity emission standard, as specified in paragraphs (f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Use of an alternative nonopacity emission standard. </w:t>
      </w:r>
      <w:r w:rsidRPr="00BA5928">
        <w:rPr>
          <w:rFonts w:ascii="Times New Roman" w:hAnsi="Times New Roman" w:cs="Times New Roman"/>
          <w:sz w:val="20"/>
          <w:szCs w:val="20"/>
        </w:rPr>
        <w:t xml:space="preserve">(1)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w:t>
      </w:r>
      <w:proofErr w:type="gramStart"/>
      <w:r w:rsidRPr="00BA5928">
        <w:rPr>
          <w:rFonts w:ascii="Times New Roman" w:hAnsi="Times New Roman" w:cs="Times New Roman"/>
          <w:sz w:val="20"/>
          <w:szCs w:val="20"/>
        </w:rPr>
        <w:t>Any  Federal</w:t>
      </w:r>
      <w:proofErr w:type="gramEnd"/>
      <w:r w:rsidRPr="00BA5928">
        <w:rPr>
          <w:rFonts w:ascii="Times New Roman" w:hAnsi="Times New Roman" w:cs="Times New Roman"/>
          <w:sz w:val="20"/>
          <w:szCs w:val="20"/>
        </w:rPr>
        <w:t xml:space="preserve"> Register  notice under this paragraph shall be published only after the public is notified and given the opportunity to comment. Such notice will restrict the permission to the stationary source(s) or </w:t>
      </w:r>
      <w:proofErr w:type="gramStart"/>
      <w:r w:rsidRPr="00BA5928">
        <w:rPr>
          <w:rFonts w:ascii="Times New Roman" w:hAnsi="Times New Roman" w:cs="Times New Roman"/>
          <w:sz w:val="20"/>
          <w:szCs w:val="20"/>
        </w:rPr>
        <w:t>category(</w:t>
      </w:r>
      <w:proofErr w:type="gramEnd"/>
      <w:r w:rsidRPr="00BA5928">
        <w:rPr>
          <w:rFonts w:ascii="Times New Roman" w:hAnsi="Times New Roman" w:cs="Times New Roman"/>
          <w:sz w:val="20"/>
          <w:szCs w:val="20"/>
        </w:rPr>
        <w:t xml:space="preserve">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BA5928">
        <w:rPr>
          <w:rFonts w:ascii="Times New Roman" w:hAnsi="Times New Roman" w:cs="Times New Roman"/>
          <w:sz w:val="20"/>
          <w:szCs w:val="20"/>
        </w:rPr>
        <w:t>requirements, that</w:t>
      </w:r>
      <w:proofErr w:type="gramEnd"/>
      <w:r w:rsidRPr="00BA5928">
        <w:rPr>
          <w:rFonts w:ascii="Times New Roman" w:hAnsi="Times New Roman" w:cs="Times New Roman"/>
          <w:sz w:val="20"/>
          <w:szCs w:val="20"/>
        </w:rPr>
        <w:t xml:space="preserve"> are deemed necessary.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establish general procedures in an applicable subpart that accomplish the requirements of paragraphs (g</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and (g)(2)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h</w:t>
      </w:r>
      <w:proofErr w:type="gramEnd"/>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Compliance with opacity and visible emission standards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 xml:space="preserve">(i)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w:t>
      </w:r>
      <w:r w:rsidRPr="00BA5928">
        <w:rPr>
          <w:rFonts w:ascii="Times New Roman" w:hAnsi="Times New Roman" w:cs="Times New Roman"/>
          <w:sz w:val="20"/>
          <w:szCs w:val="20"/>
        </w:rPr>
        <w:lastRenderedPageBreak/>
        <w:t>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opacity or visible emission test was conducted within a reasonable amount of time before a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opacity or visible emission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opacity or visible emission test was conducted and the resulting data were reduced using EPA-approved test methods and procedures, as specified in §63.7(e);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opacity or visible emission test was appropriately quality-assured, as specified in §63.7(c)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Notification of opacity or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Conduct of opacity or visible emission observations. </w:t>
      </w:r>
      <w:r w:rsidRPr="00BA5928">
        <w:rPr>
          <w:rFonts w:ascii="Times New Roman" w:hAnsi="Times New Roman" w:cs="Times New Roman"/>
          <w:sz w:val="20"/>
          <w:szCs w:val="20"/>
        </w:rPr>
        <w:t>When a relevant standard under this part includes an opacity or visible emission standard, the owner or operator of an affected source shall comply with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For the purpose of demonstrating initial compliance, opacity or visible emission observations shall be conducted concurrently with the initial performance test required in §63.7 unless one of the following conditions applies: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Opacity readings of portions of plumes that contain condensed, uncombined water vapor shall not be used for purposes of determining compliance with opacity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Availability of records. </w:t>
      </w:r>
      <w:r w:rsidRPr="00BA5928">
        <w:rPr>
          <w:rFonts w:ascii="Times New Roman" w:hAnsi="Times New Roman" w:cs="Times New Roman"/>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(7) </w:t>
      </w:r>
      <w:r w:rsidRPr="00BA5928">
        <w:rPr>
          <w:rFonts w:ascii="Times New Roman" w:hAnsi="Times New Roman" w:cs="Times New Roman"/>
          <w:i/>
          <w:iCs/>
          <w:sz w:val="20"/>
          <w:szCs w:val="20"/>
        </w:rPr>
        <w:t xml:space="preserve">Use of a continuous opacity monitoring system. </w:t>
      </w:r>
      <w:r w:rsidRPr="00BA5928">
        <w:rPr>
          <w:rFonts w:ascii="Times New Roman" w:hAnsi="Times New Roman" w:cs="Times New Roman"/>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(9) </w:t>
      </w:r>
      <w:r w:rsidRPr="00BA5928">
        <w:rPr>
          <w:rFonts w:ascii="Times New Roman" w:hAnsi="Times New Roman" w:cs="Times New Roman"/>
          <w:i/>
          <w:iCs/>
          <w:sz w:val="20"/>
          <w:szCs w:val="20"/>
        </w:rPr>
        <w:t xml:space="preserve">Adjustment to an opacity emission standard. </w:t>
      </w:r>
      <w:r w:rsidRPr="00BA5928">
        <w:rPr>
          <w:rFonts w:ascii="Times New Roman" w:hAnsi="Times New Roman" w:cs="Times New Roman"/>
          <w:sz w:val="20"/>
          <w:szCs w:val="20"/>
        </w:rPr>
        <w:t>(i) If the Administrator finds under paragraph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8) of this section that an affected source is in compliance with all relevant standards for which initial performance tests were conducted under §63.7, </w:t>
      </w:r>
      <w:r w:rsidRPr="00BA5928">
        <w:rPr>
          <w:rFonts w:ascii="Times New Roman" w:hAnsi="Times New Roman" w:cs="Times New Roman"/>
          <w:sz w:val="20"/>
          <w:szCs w:val="20"/>
        </w:rPr>
        <w:lastRenderedPageBreak/>
        <w:t>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grant such a petition upon a demonstration by the owner or operator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affected source and its associated air pollution control equipment were operated and maintained in a manner to minimize the opacity of emissions during the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tests were performed under the conditions established by the Administrator;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affected source and its associated air pollution control equipment were incapable of being adjusted or operated to meet the relevant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After</w:t>
      </w:r>
      <w:proofErr w:type="gramEnd"/>
      <w:r w:rsidRPr="00BA5928">
        <w:rPr>
          <w:rFonts w:ascii="Times New Roman" w:hAnsi="Times New Roman" w:cs="Times New Roman"/>
          <w:sz w:val="20"/>
          <w:szCs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Extension of compliance with emission standards. </w:t>
      </w:r>
      <w:r w:rsidRPr="00BA5928">
        <w:rPr>
          <w:rFonts w:ascii="Times New Roman" w:hAnsi="Times New Roman" w:cs="Times New Roman"/>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Extension of compliance for early reductions and other reductions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Early reductions. </w:t>
      </w:r>
      <w:r w:rsidRPr="00BA5928">
        <w:rPr>
          <w:rFonts w:ascii="Times New Roman" w:hAnsi="Times New Roman" w:cs="Times New Roman"/>
          <w:sz w:val="20"/>
          <w:szCs w:val="20"/>
        </w:rPr>
        <w:t>Pursuant to section 112(i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Other reductions. </w:t>
      </w:r>
      <w:r w:rsidRPr="00BA5928">
        <w:rPr>
          <w:rFonts w:ascii="Times New Roman" w:hAnsi="Times New Roman" w:cs="Times New Roman"/>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Paragraphs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w:t>
      </w:r>
      <w:proofErr w:type="gramStart"/>
      <w:r w:rsidRPr="00BA5928">
        <w:rPr>
          <w:rFonts w:ascii="Times New Roman" w:hAnsi="Times New Roman" w:cs="Times New Roman"/>
          <w:sz w:val="20"/>
          <w:szCs w:val="20"/>
        </w:rPr>
        <w:t>i</w:t>
      </w:r>
      <w:proofErr w:type="gramEnd"/>
      <w:r w:rsidRPr="00BA5928">
        <w:rPr>
          <w:rFonts w:ascii="Times New Roman" w:hAnsi="Times New Roman" w:cs="Times New Roman"/>
          <w:sz w:val="20"/>
          <w:szCs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w:t>
      </w:r>
      <w:r w:rsidRPr="00BA5928">
        <w:rPr>
          <w:rFonts w:ascii="Times New Roman" w:hAnsi="Times New Roman" w:cs="Times New Roman"/>
          <w:sz w:val="20"/>
          <w:szCs w:val="20"/>
        </w:rPr>
        <w:lastRenderedPageBreak/>
        <w:t>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an existing source that has installed BACT or technology required to meet LAER [as specified in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(6)(i) The request for a compliance extension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of this section shall include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 description of the controls to be installed to comply with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compliance schedule, including the date by which each step toward compliance will be reached. At a minimum, the list of dates shall include: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1</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The date by which on-site construction, installation of emission control equipment, or a process change is planned to be initiated; and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2</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3</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The date by which on-site construction, installation of emission control equipment, or a process change is to be completed; and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 xml:space="preserve">( </w:t>
      </w:r>
      <w:r w:rsidRPr="00BA5928">
        <w:rPr>
          <w:rFonts w:ascii="Times New Roman" w:hAnsi="Times New Roman" w:cs="Times New Roman"/>
          <w:i/>
          <w:iCs/>
          <w:sz w:val="20"/>
          <w:szCs w:val="20"/>
        </w:rPr>
        <w:t>4</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Advice on requesting an extension of compliance may be obtained from the Administrator (or the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Approval of request for extension of compliance. </w:t>
      </w:r>
      <w:r w:rsidRPr="00BA5928">
        <w:rPr>
          <w:rFonts w:ascii="Times New Roman" w:hAnsi="Times New Roman" w:cs="Times New Roman"/>
          <w:sz w:val="20"/>
          <w:szCs w:val="20"/>
        </w:rPr>
        <w:t>Paragraphs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9) through (i)(14) of this section concern approval of an extension of compliance requested under paragraphs (i)(4) through (i)(6)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extension will be in writing and will—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w:t>
      </w:r>
      <w:proofErr w:type="gramEnd"/>
      <w:r w:rsidRPr="00BA5928">
        <w:rPr>
          <w:rFonts w:ascii="Times New Roman" w:hAnsi="Times New Roman" w:cs="Times New Roman"/>
          <w:sz w:val="20"/>
          <w:szCs w:val="20"/>
        </w:rPr>
        <w:t>) Identify each affected source covered by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Specify the termination date of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Specify the dates by which steps toward compliance are to be taken, if appropriate;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Specify</w:t>
      </w:r>
      <w:proofErr w:type="gramEnd"/>
      <w:r w:rsidRPr="00BA5928">
        <w:rPr>
          <w:rFonts w:ascii="Times New Roman" w:hAnsi="Times New Roman" w:cs="Times New Roman"/>
          <w:sz w:val="20"/>
          <w:szCs w:val="20"/>
        </w:rPr>
        <w:t xml:space="preserve"> other applicable requirements to which the compliance extension applies (e.g., performance tests);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(v)(A)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specify any additional conditions that the Administrator (or the State) deems necessary to assure installation of the necessary controls and protection of the health of persons during the extension period;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specify any additional conditions that the Administrator deems necessary to assure the proper operation and maintenance of the installed controls during the extension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10)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Before denying any request for an extension of compliance, the Administrator (or the State with an approved permit program) will notify the owner or operator in writing of the Administrator's (or the State's)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The</w:t>
      </w:r>
      <w:proofErr w:type="gramEnd"/>
      <w:r w:rsidRPr="00BA5928">
        <w:rPr>
          <w:rFonts w:ascii="Times New Roman" w:hAnsi="Times New Roman" w:cs="Times New Roman"/>
          <w:sz w:val="20"/>
          <w:szCs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Before denying any request for an extension of compliance, the Administrator will notify the owner or operator in writing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A</w:t>
      </w:r>
      <w:proofErr w:type="gramEnd"/>
      <w:r w:rsidRPr="00BA5928">
        <w:rPr>
          <w:rFonts w:ascii="Times New Roman" w:hAnsi="Times New Roman" w:cs="Times New Roman"/>
          <w:sz w:val="20"/>
          <w:szCs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The Administrator (or the State with an approved permit program) may terminate an extension of compliance at an earlier date than specified if any specification under paragraph (i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10)(iii) or (iv) of this section is not met. Upon a determination to terminate, the Administrator will notify, in writing, the owner or operator of the Administrator's determination to terminate,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reason for termination;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The granting of an extension under this section shall not abrogate the Administrator's authority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Exemption from compliance with emission standards. </w:t>
      </w:r>
      <w:r w:rsidRPr="00BA5928">
        <w:rPr>
          <w:rFonts w:ascii="Times New Roman" w:hAnsi="Times New Roman" w:cs="Times New Roman"/>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16599, Apr. 5, 2002; 68 FR 32600, May 30, 2003; 71 FR 20454, Apr. 20, 2006]</w:t>
      </w:r>
    </w:p>
    <w:p w:rsidR="00BA5928" w:rsidRPr="00BA5928" w:rsidRDefault="00BA5928" w:rsidP="00BA5928">
      <w:pPr>
        <w:pStyle w:val="Heading5"/>
        <w:jc w:val="left"/>
        <w:rPr>
          <w:sz w:val="20"/>
        </w:rPr>
      </w:pPr>
      <w:r w:rsidRPr="00BA5928">
        <w:rPr>
          <w:sz w:val="20"/>
        </w:rPr>
        <w:t> 63.7   Performance testing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performance test dates. </w:t>
      </w:r>
      <w:r w:rsidRPr="00BA5928">
        <w:rPr>
          <w:rFonts w:ascii="Times New Roman" w:hAnsi="Times New Roman" w:cs="Times New Roman"/>
          <w:sz w:val="20"/>
          <w:szCs w:val="20"/>
        </w:rPr>
        <w:t>(1) The applicability of this section is set out in §63.1(a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paragraph (a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w:t>
      </w:r>
      <w:proofErr w:type="gramEnd"/>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viii)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require an owner or operator to conduct performance tests at the affected source at any other time when the action is authorized by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a force majeure is about to occur, occurs, or has occurred for which the affected owner or operator intends to assert a claim of force majeure: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event the owner or operator is unable to conduct the performance test on the date specified in the notification requirement specified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Quality assurance program. </w:t>
      </w:r>
      <w:r w:rsidRPr="00BA5928">
        <w:rPr>
          <w:rFonts w:ascii="Times New Roman" w:hAnsi="Times New Roman" w:cs="Times New Roman"/>
          <w:sz w:val="20"/>
          <w:szCs w:val="20"/>
        </w:rPr>
        <w:t>(1) The results of the quality assurance program required in this paragraph will be considered by the Administrator when he/she determines the validity of a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(2)(i) </w:t>
      </w:r>
      <w:r w:rsidRPr="00BA5928">
        <w:rPr>
          <w:rFonts w:ascii="Times New Roman" w:hAnsi="Times New Roman" w:cs="Times New Roman"/>
          <w:i/>
          <w:iCs/>
          <w:sz w:val="20"/>
          <w:szCs w:val="20"/>
        </w:rPr>
        <w:t xml:space="preserve">Submission of site-specific test plan. </w:t>
      </w:r>
      <w:r w:rsidRPr="00BA5928">
        <w:rPr>
          <w:rFonts w:ascii="Times New Roman" w:hAnsi="Times New Roman" w:cs="Times New Roman"/>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w:t>
      </w:r>
      <w:r w:rsidRPr="00BA5928">
        <w:rPr>
          <w:rFonts w:ascii="Times New Roman" w:hAnsi="Times New Roman" w:cs="Times New Roman"/>
          <w:sz w:val="20"/>
          <w:szCs w:val="20"/>
        </w:rPr>
        <w:lastRenderedPageBreak/>
        <w:t>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BA5928">
        <w:rPr>
          <w:rFonts w:ascii="Times New Roman" w:hAnsi="Times New Roman" w:cs="Times New Roman"/>
          <w:sz w:val="20"/>
          <w:szCs w:val="20"/>
        </w:rPr>
        <w:t>“Commercially available” means that two or more independent AASPs have blind audit samples available for purchase.</w:t>
      </w:r>
      <w:proofErr w:type="gramEnd"/>
      <w:r w:rsidRPr="00BA5928">
        <w:rPr>
          <w:rFonts w:ascii="Times New Roman" w:hAnsi="Times New Roman" w:cs="Times New Roman"/>
          <w:sz w:val="20"/>
          <w:szCs w:val="20"/>
        </w:rPr>
        <w:t xml:space="preserve"> If the source owner, operator, or representative cannot find an audit sample for a specific method, the owner, operator, or representative shall consult the EPA Web site at the following URL, </w:t>
      </w:r>
      <w:r w:rsidRPr="00BA5928">
        <w:rPr>
          <w:rFonts w:ascii="Times New Roman" w:hAnsi="Times New Roman" w:cs="Times New Roman"/>
          <w:i/>
          <w:iCs/>
          <w:sz w:val="20"/>
          <w:szCs w:val="20"/>
        </w:rPr>
        <w:t xml:space="preserve">http://www.epa.gov/ttn/emc, </w:t>
      </w:r>
      <w:r w:rsidRPr="00BA5928">
        <w:rPr>
          <w:rFonts w:ascii="Times New Roman" w:hAnsi="Times New Roman" w:cs="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Preparing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Confirming the true concentration of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(4) </w:t>
      </w:r>
      <w:r w:rsidRPr="00BA5928">
        <w:rPr>
          <w:rFonts w:ascii="Times New Roman" w:hAnsi="Times New Roman" w:cs="Times New Roman"/>
          <w:sz w:val="20"/>
          <w:szCs w:val="20"/>
        </w:rPr>
        <w:t>Providing the opportunity for the compliance authority to comment on the selected concentration level for an audit sample;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 xml:space="preserve">( </w:t>
      </w:r>
      <w:r w:rsidRPr="00BA5928">
        <w:rPr>
          <w:rFonts w:ascii="Times New Roman" w:hAnsi="Times New Roman" w:cs="Times New Roman"/>
          <w:i/>
          <w:iCs/>
          <w:sz w:val="20"/>
          <w:szCs w:val="20"/>
        </w:rPr>
        <w:t>5</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Distributing the sample to the user in a manner that guarantees that the true value of the sample is unknown to the user;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6</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Recording the measured concentration reported by the user and determining if the measured value is within acceptable limits;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7</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8</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Evaluating the acceptance limits of samples at least once every two years to determine in consultation with the voluntary consensus standard body if they should be changed.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9 </w:t>
      </w:r>
      <w:r w:rsidRPr="00BA5928">
        <w:rPr>
          <w:rFonts w:ascii="Times New Roman" w:hAnsi="Times New Roman" w:cs="Times New Roman"/>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1</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Checking audit samples to confirm their true value as reported by the AASP.</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2</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Performing technical systems audits of the AASP's facilities and operating procedures at least once every two years.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3</w:t>
      </w:r>
      <w:proofErr w:type="gramEnd"/>
      <w:r w:rsidRPr="00BA5928">
        <w:rPr>
          <w:rFonts w:ascii="Times New Roman" w:hAnsi="Times New Roman" w:cs="Times New Roman"/>
          <w:i/>
          <w:iCs/>
          <w:sz w:val="20"/>
          <w:szCs w:val="20"/>
        </w:rPr>
        <w:t xml:space="preserve"> </w:t>
      </w:r>
      <w:r w:rsidRPr="00BA5928">
        <w:rPr>
          <w:rFonts w:ascii="Times New Roman" w:hAnsi="Times New Roman" w:cs="Times New Roman"/>
          <w:sz w:val="20"/>
          <w:szCs w:val="20"/>
        </w:rPr>
        <w:t>) Providing standards for use by the voluntary consensus standard body to approve the accrediting body that will accredit the audit sample providers.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BA5928">
        <w:rPr>
          <w:rFonts w:ascii="Times New Roman" w:hAnsi="Times New Roman" w:cs="Times New Roman"/>
          <w:i/>
          <w:iCs/>
          <w:sz w:val="20"/>
          <w:szCs w:val="20"/>
        </w:rPr>
        <w:t>Circular A–</w:t>
      </w:r>
      <w:proofErr w:type="gramStart"/>
      <w:r w:rsidRPr="00BA5928">
        <w:rPr>
          <w:rFonts w:ascii="Times New Roman" w:hAnsi="Times New Roman" w:cs="Times New Roman"/>
          <w:i/>
          <w:iCs/>
          <w:sz w:val="20"/>
          <w:szCs w:val="20"/>
        </w:rPr>
        <w:t xml:space="preserve">119 </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 A copy of Circular A–119 is available upon request by writing the Office of Information and Regulatory Affairs, Office of Management and Budget, 725 17th Street, </w:t>
      </w:r>
      <w:proofErr w:type="gramStart"/>
      <w:r w:rsidRPr="00BA5928">
        <w:rPr>
          <w:rFonts w:ascii="Times New Roman" w:hAnsi="Times New Roman" w:cs="Times New Roman"/>
          <w:sz w:val="20"/>
          <w:szCs w:val="20"/>
        </w:rPr>
        <w:t>NW.,</w:t>
      </w:r>
      <w:proofErr w:type="gramEnd"/>
      <w:r w:rsidRPr="00BA5928">
        <w:rPr>
          <w:rFonts w:ascii="Times New Roman" w:hAnsi="Times New Roman" w:cs="Times New Roman"/>
          <w:sz w:val="20"/>
          <w:szCs w:val="20"/>
        </w:rPr>
        <w:t xml:space="preserve"> Washington, DC 20503, by calling (202) 395–6880 or downloading online at </w:t>
      </w:r>
      <w:r w:rsidRPr="00BA5928">
        <w:rPr>
          <w:rFonts w:ascii="Times New Roman" w:hAnsi="Times New Roman" w:cs="Times New Roman"/>
          <w:i/>
          <w:iCs/>
          <w:sz w:val="20"/>
          <w:szCs w:val="20"/>
        </w:rPr>
        <w:t xml:space="preserve">http://standards.gov/standards_gov/a119.cfm </w:t>
      </w:r>
      <w:r w:rsidRPr="00BA5928">
        <w:rPr>
          <w:rFonts w:ascii="Times New Roman" w:hAnsi="Times New Roman" w:cs="Times New Roman"/>
          <w:sz w:val="20"/>
          <w:szCs w:val="20"/>
        </w:rPr>
        <w:t>. The VCSB shall approve all accrediting bodies. The Administrator will review all technical criteria documents. If the technical criteria documents do not meet the minimum technical requirements in paragraphs (c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A5928">
        <w:rPr>
          <w:rFonts w:ascii="Times New Roman" w:hAnsi="Times New Roman" w:cs="Times New Roman"/>
          <w:i/>
          <w:iCs/>
          <w:sz w:val="20"/>
          <w:szCs w:val="20"/>
        </w:rPr>
        <w:t>http://www.epa.gov/ttn/</w:t>
      </w:r>
      <w:proofErr w:type="gramStart"/>
      <w:r w:rsidRPr="00BA5928">
        <w:rPr>
          <w:rFonts w:ascii="Times New Roman" w:hAnsi="Times New Roman" w:cs="Times New Roman"/>
          <w:i/>
          <w:iCs/>
          <w:sz w:val="20"/>
          <w:szCs w:val="20"/>
        </w:rPr>
        <w:t xml:space="preserve">emc </w:t>
      </w:r>
      <w:r w:rsidRPr="00BA5928">
        <w:rPr>
          <w:rFonts w:ascii="Times New Roman" w:hAnsi="Times New Roman" w:cs="Times New Roman"/>
          <w:sz w:val="20"/>
          <w:szCs w:val="20"/>
        </w:rPr>
        <w:t>.</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may request additional relevant information after the submittal of a site-specific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(3) </w:t>
      </w:r>
      <w:r w:rsidRPr="00BA5928">
        <w:rPr>
          <w:rFonts w:ascii="Times New Roman" w:hAnsi="Times New Roman" w:cs="Times New Roman"/>
          <w:i/>
          <w:iCs/>
          <w:sz w:val="20"/>
          <w:szCs w:val="20"/>
        </w:rPr>
        <w:t xml:space="preserve">Approval of site-specific test plan. </w:t>
      </w:r>
      <w:r w:rsidRPr="00BA5928">
        <w:rPr>
          <w:rFonts w:ascii="Times New Roman" w:hAnsi="Times New Roman" w:cs="Times New Roman"/>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3)(i)(B) of this section. Before disapproving any site-specific test plan, the Administrator will notify the applicant of the Administrator's intention to disapprove the plan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within 30 calendar days after he/she is notified of the intended disapproval, additional information to the Administrator before final action on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the event that the Administrator fails to approve or disapprove the site-specific test plan within the time period specified in paragraph (c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 of this section,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Neither the submission of a site-specific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Performance testing facilities. </w:t>
      </w:r>
      <w:r w:rsidRPr="00BA5928">
        <w:rPr>
          <w:rFonts w:ascii="Times New Roman" w:hAnsi="Times New Roman" w:cs="Times New Roman"/>
          <w:sz w:val="20"/>
          <w:szCs w:val="20"/>
        </w:rPr>
        <w:t>If required to do performance testing, the owner or operator of each new source and, at the request of the Administrator, the owner or operator of each existing source, shall provide performance testing facilities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Sampling ports adequate for test methods applicable to such source. This includes: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Constructing the air pollution control system such that volumetric flow rates and pollutant emission rates can be accurately determined by applicable test methods and procedures;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Providing a stack or duct free of cyclonic flow during performance tests, as demonstrated by applicable test methods and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Safe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Safe access to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Utilities for sampling and testing equipment;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Any other facilities that the Administrator deems necessary for safe and adequate testing of 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Conduct of performance tests. </w:t>
      </w:r>
      <w:r w:rsidRPr="00BA5928">
        <w:rPr>
          <w:rFonts w:ascii="Times New Roman" w:hAnsi="Times New Roman" w:cs="Times New Roman"/>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Approves shorter sampling times or smaller sample volumes when necessitated by process variables or other factors;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iv</w:t>
      </w:r>
      <w:proofErr w:type="gramEnd"/>
      <w:r w:rsidRPr="00BA5928">
        <w:rPr>
          <w:rFonts w:ascii="Times New Roman" w:hAnsi="Times New Roman" w:cs="Times New Roman"/>
          <w:sz w:val="20"/>
          <w:szCs w:val="20"/>
        </w:rPr>
        <w:t>) Waives the requirement for performance tests because the owner or operator of an affected source has demonstrated by other means to the Administrator's satisfaction that the affected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sample is accidentally lost after the testing team leaves the site;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Conditions occur in which one of the three runs must be discontinued because of forced shutdown;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Extreme meteorological conditions occur; or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Other</w:t>
      </w:r>
      <w:proofErr w:type="gramEnd"/>
      <w:r w:rsidRPr="00BA5928">
        <w:rPr>
          <w:rFonts w:ascii="Times New Roman" w:hAnsi="Times New Roman" w:cs="Times New Roman"/>
          <w:sz w:val="20"/>
          <w:szCs w:val="20"/>
        </w:rPr>
        <w:t xml:space="preserve"> circumstances occur that are beyond the owner or operator's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Nothing in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through (e)(3) of this section shall be construed to abrogate the Administrator's authority to require testing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test method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authorized to use an intermediate or major change or alternative to a test method,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The owner or operator of an affected source required to do performance testing by a relevant standard may use an alternative test method from that specified in the standard provided that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Notifies the Administrator of his or her intention to use an alternative test method at least 60 days before the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Neither the validation and approval process nor the failure to validate an alternative test method shall abrogate the owner or operator's responsibility to comply with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Data analysis, recordkeeping, and reporting. </w:t>
      </w:r>
      <w:r w:rsidRPr="00BA5928">
        <w:rPr>
          <w:rFonts w:ascii="Times New Roman" w:hAnsi="Times New Roman" w:cs="Times New Roman"/>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(h) </w:t>
      </w:r>
      <w:r w:rsidRPr="00BA5928">
        <w:rPr>
          <w:rFonts w:ascii="Times New Roman" w:hAnsi="Times New Roman" w:cs="Times New Roman"/>
          <w:i/>
          <w:iCs/>
          <w:sz w:val="20"/>
          <w:szCs w:val="20"/>
        </w:rPr>
        <w:t xml:space="preserve">Waiver of performance tests. </w:t>
      </w:r>
      <w:r w:rsidRPr="00BA5928">
        <w:rPr>
          <w:rFonts w:ascii="Times New Roman" w:hAnsi="Times New Roman" w:cs="Times New Roman"/>
          <w:sz w:val="20"/>
          <w:szCs w:val="20"/>
        </w:rPr>
        <w:t>(1) Until a waiver of a performance testing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BA5928">
        <w:rPr>
          <w:rFonts w:ascii="Times New Roman" w:hAnsi="Times New Roman" w:cs="Times New Roman"/>
          <w:sz w:val="20"/>
          <w:szCs w:val="20"/>
        </w:rPr>
        <w:t>compliance,</w:t>
      </w:r>
      <w:proofErr w:type="gramEnd"/>
      <w:r w:rsidRPr="00BA5928">
        <w:rPr>
          <w:rFonts w:ascii="Times New Roman" w:hAnsi="Times New Roman" w:cs="Times New Roman"/>
          <w:sz w:val="20"/>
          <w:szCs w:val="20"/>
        </w:rPr>
        <w:t xml:space="preserv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to waive a performance test. </w:t>
      </w:r>
      <w:r w:rsidRPr="00BA5928">
        <w:rPr>
          <w:rFonts w:ascii="Times New Roman" w:hAnsi="Times New Roman" w:cs="Times New Roman"/>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Approval of request to waive performance test. </w:t>
      </w:r>
      <w:r w:rsidRPr="00BA5928">
        <w:rPr>
          <w:rFonts w:ascii="Times New Roman" w:hAnsi="Times New Roman" w:cs="Times New Roman"/>
          <w:sz w:val="20"/>
          <w:szCs w:val="20"/>
        </w:rPr>
        <w:t>The Administrator will approve or deny a request for a waiver of a performance test made under paragraph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this section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under §63.6(i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8);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or disapproves a site-specific test plan under §63.7(c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Makes</w:t>
      </w:r>
      <w:proofErr w:type="gramEnd"/>
      <w:r w:rsidRPr="00BA5928">
        <w:rPr>
          <w:rFonts w:ascii="Times New Roman" w:hAnsi="Times New Roman" w:cs="Times New Roman"/>
          <w:sz w:val="20"/>
          <w:szCs w:val="20"/>
        </w:rPr>
        <w:t xml:space="preserve">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65 FR 62215, Oct. 17, 2000; 67 FR 16602, Apr. 5, 2002; 72 FR 27443, May 16, 2007; 75 FR 55655, Sept. 13, 2010]</w:t>
      </w:r>
    </w:p>
    <w:p w:rsidR="00BA5928" w:rsidRPr="00BA5928" w:rsidRDefault="00BA5928" w:rsidP="00BA5928">
      <w:pPr>
        <w:pStyle w:val="Heading5"/>
        <w:jc w:val="left"/>
        <w:rPr>
          <w:sz w:val="20"/>
        </w:rPr>
      </w:pPr>
      <w:r w:rsidRPr="00BA5928">
        <w:rPr>
          <w:sz w:val="20"/>
        </w:rPr>
        <w:t> 63.8   Monitoring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For the purposes of this part, all CMS required under relevant standards shall be subject to the provisions of this section upon promulgation of performance specifications for CMS as specified in the relevant standard or otherwise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Additional monitoring requirements for control devices used to comply with provisions in relevant standards of this part are specified in §63.11.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Conduct of monitoring. </w:t>
      </w:r>
      <w:r w:rsidRPr="00BA5928">
        <w:rPr>
          <w:rFonts w:ascii="Times New Roman" w:hAnsi="Times New Roman" w:cs="Times New Roman"/>
          <w:sz w:val="20"/>
          <w:szCs w:val="20"/>
        </w:rPr>
        <w:t>(1) Monitoring shall be conducted as set forth in this section and the relevant standard(s)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the use of minor changes in methodology for the specified monitoring requirements and procedures (see §63.90(a) for definition);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any monitoring requirements or procedures (see §63.90(a) for definition).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Owners or operators with flares subject to §63.11(b) are not subject to the requirements of this section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Approved by the Administrator;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Operation and maintenance of continuous monitoring systems. </w:t>
      </w:r>
      <w:r w:rsidRPr="00BA5928">
        <w:rPr>
          <w:rFonts w:ascii="Times New Roman" w:hAnsi="Times New Roman" w:cs="Times New Roman"/>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must keep the necessary parts for routine repairs of the affected CMS equipment readily available.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must develop a written startup, shutdown, and malfunction plan for CMS as specified in §63.6(e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(2)(i) All CMS must be installed such that representative measures of emissions or process parameters from the affected source are obtained. In addition, CEMS must be located according to procedures contained in the applicable performance specification(s).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All COMS shall complete a minimum of one cycle of sampling and analyzing for each successive 10-second period and one cycle of data recording for each successive 6-minute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All CEMS for measuring emissions other than opacity shall complete a minimum of one cycle of operation (sampling, analyzing, and data recording) for each successive 15-minute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A CMS is out of control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zero (low-level), mid-level (if applicable), or high-level calibration drift (CD) exceeds two times the applicable CD specification in the applicable performance specification or in the relevant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CMS fails a performance test audit (e.g., cylinder gas audit), relative accuracy audit, relative accuracy test audit, or linearity test audit;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COMS CD exceeds two times the limit in the applicable performance specification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Quality control program. </w:t>
      </w:r>
      <w:r w:rsidRPr="00BA5928">
        <w:rPr>
          <w:rFonts w:ascii="Times New Roman" w:hAnsi="Times New Roman" w:cs="Times New Roman"/>
          <w:sz w:val="20"/>
          <w:szCs w:val="20"/>
        </w:rPr>
        <w:t>(1) The results of the quality control program required in this paragraph will be considered by the Administrator when he/she determines the validity of monitoring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Initial and any subsequent calibration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Determination and adjustment of the calibration drift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Preventive maintenance of the CMS, including spare parts inventory;</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Data</w:t>
      </w:r>
      <w:proofErr w:type="gramEnd"/>
      <w:r w:rsidRPr="00BA5928">
        <w:rPr>
          <w:rFonts w:ascii="Times New Roman" w:hAnsi="Times New Roman" w:cs="Times New Roman"/>
          <w:sz w:val="20"/>
          <w:szCs w:val="20"/>
        </w:rPr>
        <w:t xml:space="preserve"> recording, calculations, and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Accuracy audit procedures, including sampling and analysis methods; and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(vi) Program</w:t>
      </w:r>
      <w:proofErr w:type="gramEnd"/>
      <w:r w:rsidRPr="00BA5928">
        <w:rPr>
          <w:rFonts w:ascii="Times New Roman" w:hAnsi="Times New Roman" w:cs="Times New Roman"/>
          <w:sz w:val="20"/>
          <w:szCs w:val="20"/>
        </w:rPr>
        <w:t xml:space="preserve"> of corrective action for a malfunctioning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Performance evaluation of continuous monitoring systems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Notification of performance evaluation. </w:t>
      </w:r>
      <w:r w:rsidRPr="00BA5928">
        <w:rPr>
          <w:rFonts w:ascii="Times New Roman" w:hAnsi="Times New Roman" w:cs="Times New Roman"/>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(3)(i) </w:t>
      </w:r>
      <w:r w:rsidRPr="00BA5928">
        <w:rPr>
          <w:rFonts w:ascii="Times New Roman" w:hAnsi="Times New Roman" w:cs="Times New Roman"/>
          <w:i/>
          <w:iCs/>
          <w:sz w:val="20"/>
          <w:szCs w:val="20"/>
        </w:rPr>
        <w:t xml:space="preserve">Submission of site-specific performance evaluation test plan. </w:t>
      </w:r>
      <w:r w:rsidRPr="00BA5928">
        <w:rPr>
          <w:rFonts w:ascii="Times New Roman" w:hAnsi="Times New Roman" w:cs="Times New Roman"/>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The</w:t>
      </w:r>
      <w:proofErr w:type="gramEnd"/>
      <w:r w:rsidRPr="00BA5928">
        <w:rPr>
          <w:rFonts w:ascii="Times New Roman" w:hAnsi="Times New Roman" w:cs="Times New Roman"/>
          <w:sz w:val="20"/>
          <w:szCs w:val="20"/>
        </w:rPr>
        <w:t xml:space="preserve"> Administrator may request additional relevant information after the submittal of a site-specific performance evaluation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In the event that the Administrator fails to approve or disapprove the site-specific performance evaluation test plan within the time period specified in §63.7(c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Conduct of performance evaluation and performance evaluation dates. </w:t>
      </w:r>
      <w:r w:rsidRPr="00BA5928">
        <w:rPr>
          <w:rFonts w:ascii="Times New Roman" w:hAnsi="Times New Roman" w:cs="Times New Roman"/>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w:t>
      </w:r>
      <w:r w:rsidRPr="00BA5928">
        <w:rPr>
          <w:rFonts w:ascii="Times New Roman" w:hAnsi="Times New Roman" w:cs="Times New Roman"/>
          <w:sz w:val="20"/>
          <w:szCs w:val="20"/>
        </w:rPr>
        <w:lastRenderedPageBreak/>
        <w:t>the performance evaluation not later than 180 days after the appropriate compliance date for the affected source, as specified in §63.7(a), or as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performance evaluation results. </w:t>
      </w:r>
      <w:r w:rsidRPr="00BA5928">
        <w:rPr>
          <w:rFonts w:ascii="Times New Roman" w:hAnsi="Times New Roman" w:cs="Times New Roman"/>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BA5928">
        <w:rPr>
          <w:rFonts w:ascii="Times New Roman" w:hAnsi="Times New Roman" w:cs="Times New Roman"/>
          <w:sz w:val="20"/>
          <w:szCs w:val="20"/>
        </w:rPr>
        <w:t>is</w:t>
      </w:r>
      <w:proofErr w:type="gramEnd"/>
      <w:r w:rsidRPr="00BA5928">
        <w:rPr>
          <w:rFonts w:ascii="Times New Roman" w:hAnsi="Times New Roman" w:cs="Times New Roman"/>
          <w:sz w:val="20"/>
          <w:szCs w:val="20"/>
        </w:rPr>
        <w:t xml:space="preserve">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monitoring method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After receipt and consideration of written application, the Administrator may approve alternatives to any monitoring methods or procedures of this part including, but not limited to,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Alternative monitoring requirements when installation of a CMS specified by a relevant standard would not provide accurate measurements due to liquid water or other interferences caused by substances within the effluent gases;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Alternative monitoring requirements when the affected source is infrequently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Alternative monitoring requirements to accommodate CEMS that require additional measurements to correct for stack moisture conditions;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Alternative</w:t>
      </w:r>
      <w:proofErr w:type="gramEnd"/>
      <w:r w:rsidRPr="00BA5928">
        <w:rPr>
          <w:rFonts w:ascii="Times New Roman" w:hAnsi="Times New Roman" w:cs="Times New Roman"/>
          <w:sz w:val="20"/>
          <w:szCs w:val="20"/>
        </w:rPr>
        <w:t xml:space="preserve"> locations for installing CMS when the owner or operator can demonstrate that installation at alternate locations will enable accurate and representative measurements;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Alternate methods for converting pollutant concentration measurements to units of the relevant standard;</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(vi) Alternate</w:t>
      </w:r>
      <w:proofErr w:type="gramEnd"/>
      <w:r w:rsidRPr="00BA5928">
        <w:rPr>
          <w:rFonts w:ascii="Times New Roman" w:hAnsi="Times New Roman" w:cs="Times New Roman"/>
          <w:sz w:val="20"/>
          <w:szCs w:val="20"/>
        </w:rPr>
        <w:t xml:space="preserve"> procedures for performing daily checks of zero (low-level) and high-level drift that do not involve use of high-level gases or test cells;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Alternatives to the American Society for Testing and Materials (ASTM) test methods or sampling procedures specified by any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Alternative monitoring requirements when the effluent from a single affected source or the combined effluent from two or more affected sources is released to the atmosphere through more than one point.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w:t>
      </w:r>
      <w:r w:rsidRPr="00BA5928">
        <w:rPr>
          <w:rFonts w:ascii="Times New Roman" w:hAnsi="Times New Roman" w:cs="Times New Roman"/>
          <w:sz w:val="20"/>
          <w:szCs w:val="20"/>
        </w:rPr>
        <w:lastRenderedPageBreak/>
        <w:t>section or in the relevant standard. If the results of the specified and alternative method, requirement, or procedure do not agree, the results obtained by the specified method, requirement, or procedure shall prevail.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(4)(i) </w:t>
      </w:r>
      <w:r w:rsidRPr="00BA5928">
        <w:rPr>
          <w:rFonts w:ascii="Times New Roman" w:hAnsi="Times New Roman" w:cs="Times New Roman"/>
          <w:i/>
          <w:iCs/>
          <w:sz w:val="20"/>
          <w:szCs w:val="20"/>
        </w:rPr>
        <w:t xml:space="preserve">Request to use alternative monitoring procedure. </w:t>
      </w:r>
      <w:r w:rsidRPr="00BA5928">
        <w:rPr>
          <w:rFonts w:ascii="Times New Roman" w:hAnsi="Times New Roman" w:cs="Times New Roman"/>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Application for minor changes to monitoring procedures, as specified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this section, may be made in the site-specific performance evaluation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Approval of request to use alternative monitoring procedure. </w:t>
      </w:r>
      <w:r w:rsidRPr="00BA5928">
        <w:rPr>
          <w:rFonts w:ascii="Times New Roman" w:hAnsi="Times New Roman" w:cs="Times New Roman"/>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BA5928">
        <w:rPr>
          <w:rFonts w:ascii="Times New Roman" w:hAnsi="Times New Roman" w:cs="Times New Roman"/>
          <w:sz w:val="20"/>
          <w:szCs w:val="20"/>
        </w:rPr>
        <w:t>request,</w:t>
      </w:r>
      <w:proofErr w:type="gramEnd"/>
      <w:r w:rsidRPr="00BA5928">
        <w:rPr>
          <w:rFonts w:ascii="Times New Roman" w:hAnsi="Times New Roman" w:cs="Times New Roman"/>
          <w:sz w:val="20"/>
          <w:szCs w:val="20"/>
        </w:rPr>
        <w:t xml:space="preserve"> the Administrator will specify how much time the owner or operator will have after being notified of the intended disapproval to submit the additional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establish general procedures and criteria in a relevant standard to accomplish the requirements of paragraph (f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Alternative to the relative accuracy test. </w:t>
      </w:r>
      <w:r w:rsidRPr="00BA5928">
        <w:rPr>
          <w:rFonts w:ascii="Times New Roman" w:hAnsi="Times New Roman" w:cs="Times New Roman"/>
          <w:sz w:val="20"/>
          <w:szCs w:val="20"/>
        </w:rPr>
        <w:t>An alternative to the relative accuracy test for CEMS specified in a relevant standard may be requested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Criteria for approval of alternative procedures. </w:t>
      </w:r>
      <w:r w:rsidRPr="00BA5928">
        <w:rPr>
          <w:rFonts w:ascii="Times New Roman" w:hAnsi="Times New Roman" w:cs="Times New Roman"/>
          <w:sz w:val="20"/>
          <w:szCs w:val="20"/>
        </w:rPr>
        <w:t xml:space="preserve">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w:t>
      </w:r>
      <w:r w:rsidRPr="00BA5928">
        <w:rPr>
          <w:rFonts w:ascii="Times New Roman" w:hAnsi="Times New Roman" w:cs="Times New Roman"/>
          <w:sz w:val="20"/>
          <w:szCs w:val="20"/>
        </w:rPr>
        <w:lastRenderedPageBreak/>
        <w:t>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Petition to use alternative to relative accuracy test. </w:t>
      </w:r>
      <w:r w:rsidRPr="00BA5928">
        <w:rPr>
          <w:rFonts w:ascii="Times New Roman" w:hAnsi="Times New Roman" w:cs="Times New Roman"/>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w:t>
      </w:r>
      <w:r w:rsidRPr="00BA5928">
        <w:rPr>
          <w:rFonts w:ascii="Times New Roman" w:hAnsi="Times New Roman" w:cs="Times New Roman"/>
          <w:i/>
          <w:iCs/>
          <w:sz w:val="20"/>
          <w:szCs w:val="20"/>
        </w:rPr>
        <w:t xml:space="preserve">Rescission of approval to use alternative to relative accuracy test. </w:t>
      </w:r>
      <w:r w:rsidRPr="00BA5928">
        <w:rPr>
          <w:rFonts w:ascii="Times New Roman" w:hAnsi="Times New Roman" w:cs="Times New Roman"/>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Reduction of monitoring data. </w:t>
      </w:r>
      <w:r w:rsidRPr="00BA5928">
        <w:rPr>
          <w:rFonts w:ascii="Times New Roman" w:hAnsi="Times New Roman" w:cs="Times New Roman"/>
          <w:sz w:val="20"/>
          <w:szCs w:val="20"/>
        </w:rPr>
        <w:t>(1) The owner or operator of each CMS must reduce the monitoring data as specified in paragraphs (g</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data may be recorded in reduced or nonreduced form (e.g., ppm pollutant and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or ng/J of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2)(vii)(A) or (B), data averages must include any data recorded during periods of monitor breakdown or malfunction.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16603, Apr. 5, 2002; 71 FR 20455, Apr. 20, 2006]</w:t>
      </w:r>
    </w:p>
    <w:p w:rsidR="00BA5928" w:rsidRPr="00BA5928" w:rsidRDefault="00BA5928" w:rsidP="00BA5928">
      <w:pPr>
        <w:pStyle w:val="Heading5"/>
        <w:jc w:val="left"/>
        <w:rPr>
          <w:sz w:val="20"/>
        </w:rPr>
      </w:pPr>
      <w:r w:rsidRPr="00BA5928">
        <w:rPr>
          <w:sz w:val="20"/>
        </w:rPr>
        <w:lastRenderedPageBreak/>
        <w:t> 63.9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notifications. </w:t>
      </w:r>
      <w:r w:rsidRPr="00BA5928">
        <w:rPr>
          <w:rFonts w:ascii="Times New Roman" w:hAnsi="Times New Roman" w:cs="Times New Roman"/>
          <w:sz w:val="20"/>
          <w:szCs w:val="20"/>
        </w:rPr>
        <w:t>(1)(i) The requirements of this paragraph apply to the owner or operator of an affected source when such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name and address of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address (i.e., physical location)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An identification of the relevant </w:t>
      </w:r>
      <w:proofErr w:type="gramStart"/>
      <w:r w:rsidRPr="00BA5928">
        <w:rPr>
          <w:rFonts w:ascii="Times New Roman" w:hAnsi="Times New Roman" w:cs="Times New Roman"/>
          <w:sz w:val="20"/>
          <w:szCs w:val="20"/>
        </w:rPr>
        <w:t>standard,</w:t>
      </w:r>
      <w:proofErr w:type="gramEnd"/>
      <w:r w:rsidRPr="00BA5928">
        <w:rPr>
          <w:rFonts w:ascii="Times New Roman" w:hAnsi="Times New Roman" w:cs="Times New Roman"/>
          <w:sz w:val="20"/>
          <w:szCs w:val="20"/>
        </w:rPr>
        <w:t xml:space="preserve"> or other requirement, that is the basis of the notification and the source's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statement of whether the affected source is a major source or an area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 A notification of the actual date of startup of the </w:t>
      </w:r>
      <w:proofErr w:type="gramStart"/>
      <w:r w:rsidRPr="00BA5928">
        <w:rPr>
          <w:rFonts w:ascii="Times New Roman" w:hAnsi="Times New Roman" w:cs="Times New Roman"/>
          <w:sz w:val="20"/>
          <w:szCs w:val="20"/>
        </w:rPr>
        <w:t>source,</w:t>
      </w:r>
      <w:proofErr w:type="gramEnd"/>
      <w:r w:rsidRPr="00BA5928">
        <w:rPr>
          <w:rFonts w:ascii="Times New Roman" w:hAnsi="Times New Roman" w:cs="Times New Roman"/>
          <w:sz w:val="20"/>
          <w:szCs w:val="20"/>
        </w:rPr>
        <w:t xml:space="preserv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affected source, reconstruct an affected source, or reconstruct a source such that the source becomes an affected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A notification of the actual date of startup of the </w:t>
      </w:r>
      <w:proofErr w:type="gramStart"/>
      <w:r w:rsidRPr="00BA5928">
        <w:rPr>
          <w:rFonts w:ascii="Times New Roman" w:hAnsi="Times New Roman" w:cs="Times New Roman"/>
          <w:sz w:val="20"/>
          <w:szCs w:val="20"/>
        </w:rPr>
        <w:t>source,</w:t>
      </w:r>
      <w:proofErr w:type="gramEnd"/>
      <w:r w:rsidRPr="00BA5928">
        <w:rPr>
          <w:rFonts w:ascii="Times New Roman" w:hAnsi="Times New Roman" w:cs="Times New Roman"/>
          <w:sz w:val="20"/>
          <w:szCs w:val="20"/>
        </w:rPr>
        <w:t xml:space="preserv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If the owner or operator of an affected source cannot comply with a relevant standard by the applicable compliance date for that source, or if the owner or operator has installed BACT or technology to meet LAER consistent with §63.6(i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of this subpart, he/she may submit to the Administrator (or the State with an approved permit program) a request for an extension of compliance as specified in §63.6(i)(4) through §63.6(i)(6).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Notification that source is subject to special compliance requirements. </w:t>
      </w:r>
      <w:r w:rsidRPr="00BA5928">
        <w:rPr>
          <w:rFonts w:ascii="Times New Roman" w:hAnsi="Times New Roman" w:cs="Times New Roman"/>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f</w:t>
      </w:r>
      <w:proofErr w:type="gramEnd"/>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Notification of opacity and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the opacity or visible emission observations specified in §63.6(h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Additional notification requirements for sources with continuous monitoring systems. </w:t>
      </w:r>
      <w:r w:rsidRPr="00BA5928">
        <w:rPr>
          <w:rFonts w:ascii="Times New Roman" w:hAnsi="Times New Roman" w:cs="Times New Roman"/>
          <w:sz w:val="20"/>
          <w:szCs w:val="20"/>
        </w:rPr>
        <w:t>The owner or operator of an affected source required to use a CMS by a relevant standard shall furnish the Administrator written notification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7)(ii), if compliance with an opacity emission standard is required for the source by a relevant standard. The notification shall be submitted at least 60 calendar days before the performance test is scheduled to begin;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notification that the criterion necessary to continue use of an alternative to relative accuracy testing, as provided by §63.8(f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 has been exceeded. The notification shall be delivered or postmarked not later than 10 days after the occurrence of such exceedance, and it shall include a description of the nature and cause of the increased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Notification of compliance status. </w:t>
      </w:r>
      <w:r w:rsidRPr="00BA5928">
        <w:rPr>
          <w:rFonts w:ascii="Times New Roman" w:hAnsi="Times New Roman" w:cs="Times New Roman"/>
          <w:sz w:val="20"/>
          <w:szCs w:val="20"/>
        </w:rPr>
        <w:t>(1) The requirements of paragraphs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 through (h)(4) of this section apply when an affected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methods that were used to determine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results of any performance tests, opacity or visible emission observations, continuous monitoring system (CMS) performance evaluations, and/or other monitoring procedures or methods that were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methods that will be used for determining continuing compliance, including a description of monitoring and reporting requirements and test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the relevant standard applies to both major and area sources, an analysis demonstrating whether the affected source is a major source (using the emissions data generated for this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A statement by the owner or operator of the affected existing, new, or reconstructed source as to whether the source has complied with the relevant standard or other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w:t>
      </w:r>
      <w:r w:rsidRPr="00BA5928">
        <w:rPr>
          <w:rFonts w:ascii="Times New Roman" w:hAnsi="Times New Roman" w:cs="Times New Roman"/>
          <w:sz w:val="20"/>
          <w:szCs w:val="20"/>
        </w:rPr>
        <w:lastRenderedPageBreak/>
        <w:t>business on the 30th day following the completion of opacity or visible emission observations. Notifications may be combined as long as the due date requirement for each notification is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Advice on a notification of compliance status may be obtained from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Adjustment to time periods or postmark deadlines for submittal and review of required communications. </w:t>
      </w:r>
      <w:r w:rsidRPr="00BA5928">
        <w:rPr>
          <w:rFonts w:ascii="Times New Roman" w:hAnsi="Times New Roman" w:cs="Times New Roman"/>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An owner or operator shall request the adjustment provided for in paragraphs (i)(2) and (i)(3) of this section each time he or she wishes to change an applicable time period or postmark deadline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Change in information already provided. </w:t>
      </w:r>
      <w:r w:rsidRPr="00BA5928">
        <w:rPr>
          <w:rFonts w:ascii="Times New Roman" w:hAnsi="Times New Roman" w:cs="Times New Roman"/>
          <w:sz w:val="20"/>
          <w:szCs w:val="20"/>
        </w:rPr>
        <w:t>Any change in the information already provided under this section shall be provided to the Administrator in writing within 15 calendar days after the change.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w:t>
      </w:r>
    </w:p>
    <w:p w:rsidR="00BA5928" w:rsidRPr="00BA5928" w:rsidRDefault="00BA5928" w:rsidP="00BA5928">
      <w:pPr>
        <w:pStyle w:val="Heading5"/>
        <w:jc w:val="left"/>
        <w:rPr>
          <w:sz w:val="20"/>
        </w:rPr>
      </w:pPr>
      <w:r w:rsidRPr="00BA5928">
        <w:rPr>
          <w:sz w:val="20"/>
        </w:rPr>
        <w:t>63.10   Recordkeeping and reporting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General </w:t>
      </w:r>
      <w:proofErr w:type="gramStart"/>
      <w:r w:rsidRPr="00BA5928">
        <w:rPr>
          <w:rFonts w:ascii="Times New Roman" w:hAnsi="Times New Roman" w:cs="Times New Roman"/>
          <w:i/>
          <w:iCs/>
          <w:sz w:val="20"/>
          <w:szCs w:val="20"/>
        </w:rPr>
        <w:t>recordkeeping</w:t>
      </w:r>
      <w:proofErr w:type="gramEnd"/>
      <w:r w:rsidRPr="00BA5928">
        <w:rPr>
          <w:rFonts w:ascii="Times New Roman" w:hAnsi="Times New Roman" w:cs="Times New Roman"/>
          <w:i/>
          <w:iCs/>
          <w:sz w:val="20"/>
          <w:szCs w:val="20"/>
        </w:rPr>
        <w:t xml:space="preserve"> requirements. </w:t>
      </w:r>
      <w:r w:rsidRPr="00BA5928">
        <w:rPr>
          <w:rFonts w:ascii="Times New Roman" w:hAnsi="Times New Roman" w:cs="Times New Roman"/>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subject to the provisions of this part shall maintain relevant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 The occurrence and duration of each startup or shutdown when the startup or shutdown causes the source to exceed any applicable emission limitation in the relevant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occurrence and duration of each malfunction of operation (i.e., process equipment) or the required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All required maintenance performed on the air pollution control and monitoring equipment;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w:t>
      </w:r>
      <w:proofErr w:type="gramEnd"/>
      <w:r w:rsidRPr="00BA5928">
        <w:rPr>
          <w:rFonts w:ascii="Times New Roman" w:hAnsi="Times New Roman" w:cs="Times New Roman"/>
          <w:sz w:val="20"/>
          <w:szCs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(vi) Each</w:t>
      </w:r>
      <w:proofErr w:type="gramEnd"/>
      <w:r w:rsidRPr="00BA5928">
        <w:rPr>
          <w:rFonts w:ascii="Times New Roman" w:hAnsi="Times New Roman" w:cs="Times New Roman"/>
          <w:sz w:val="20"/>
          <w:szCs w:val="20"/>
        </w:rPr>
        <w:t xml:space="preserve"> period during which a CMS is malfunctioning or inoperative (including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All results of performance tests, CMS performance evaluations, and opacity and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(ix) All measurements as may be necessary to determine the conditions of performance tests and performance evaluations;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 All CMS calibration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 All adjustments and maintenance performed on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 Any information demonstrating whether a source is meeting the requirements for a waiver of recordkeeping or reporting requirements under this part, if the source has been granted a waiver under paragraph (f)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(xiii) All emission levels relative to the criterion for obtaining permission to use an alternative to the relative accuracy test, if the source has been granted such permission under §63.8(f)(6);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(xiv) All documentation supporting initial notifications and notifications of compliance status under §63.9.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Recordkeeping requirement for applicability determinations. </w:t>
      </w:r>
      <w:r w:rsidRPr="00BA5928">
        <w:rPr>
          <w:rFonts w:ascii="Times New Roman" w:hAnsi="Times New Roman" w:cs="Times New Roman"/>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and to record the results of that determination under paragraph (b)(3) of this section shall not by themselves create an obligation for the owner or operator to obtain a title V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Additional recordkeeping requirements for sources with continuous monitoring systems. </w:t>
      </w:r>
      <w:r w:rsidRPr="00BA5928">
        <w:rPr>
          <w:rFonts w:ascii="Times New Roman" w:hAnsi="Times New Roman" w:cs="Times New Roman"/>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All required CMS measurements (including monitoring data recorded during unavoidable CMS breakdowns and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date and time identifying each period during which the CMS was inoperative except for zero (low-level) and high-level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date and time identifying each period during which the CMS was out of control, as defined in §63.8(c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nature and cause of any malfunction (if known);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corrective action taken or preventive measures adopted;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The nature of the repairs or adjustments to the CMS that was inoperative or out of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The total process operating time during the reporting period;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All procedures that are part of a quality control program developed and implemented for CMS under §63.8(d).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General reporting requirements. </w:t>
      </w:r>
      <w:r w:rsidRPr="00BA5928">
        <w:rPr>
          <w:rFonts w:ascii="Times New Roman" w:hAnsi="Times New Roman" w:cs="Times New Roman"/>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performance tests. </w:t>
      </w:r>
      <w:r w:rsidRPr="00BA5928">
        <w:rPr>
          <w:rFonts w:ascii="Times New Roman" w:hAnsi="Times New Roman" w:cs="Times New Roman"/>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Reporting results of opacity or visible emission observations. </w:t>
      </w:r>
      <w:r w:rsidRPr="00BA5928">
        <w:rPr>
          <w:rFonts w:ascii="Times New Roman" w:hAnsi="Times New Roman" w:cs="Times New Roman"/>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Progress reports. </w:t>
      </w:r>
      <w:r w:rsidRPr="00BA5928">
        <w:rPr>
          <w:rFonts w:ascii="Times New Roman" w:hAnsi="Times New Roman" w:cs="Times New Roman"/>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(5)(i) </w:t>
      </w:r>
      <w:r w:rsidRPr="00BA5928">
        <w:rPr>
          <w:rFonts w:ascii="Times New Roman" w:hAnsi="Times New Roman" w:cs="Times New Roman"/>
          <w:i/>
          <w:iCs/>
          <w:sz w:val="20"/>
          <w:szCs w:val="20"/>
        </w:rPr>
        <w:t xml:space="preserve">Periodic startup, shutdown, and malfunction reports. </w:t>
      </w:r>
      <w:r w:rsidRPr="00BA5928">
        <w:rPr>
          <w:rFonts w:ascii="Times New Roman" w:hAnsi="Times New Roman" w:cs="Times New Roman"/>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w:t>
      </w:r>
      <w:r w:rsidRPr="00BA5928">
        <w:rPr>
          <w:rFonts w:ascii="Times New Roman" w:hAnsi="Times New Roman" w:cs="Times New Roman"/>
          <w:sz w:val="20"/>
          <w:szCs w:val="20"/>
        </w:rPr>
        <w:lastRenderedPageBreak/>
        <w:t>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Immediate startup, shutdown, and malfunction reports. </w:t>
      </w:r>
      <w:r w:rsidRPr="00BA5928">
        <w:rPr>
          <w:rFonts w:ascii="Times New Roman" w:hAnsi="Times New Roman" w:cs="Times New Roman"/>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5)(ii)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Additional reporting requirements for sources with continuous monitoring systems </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more than one CEMS is used to measure the emissions from one affected source (e.g., multiple breechings, multiple outlets), the owner or operator shall report the results as required for each CEMS.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continuous monitoring system performance evaluations. </w:t>
      </w:r>
      <w:r w:rsidRPr="00BA5928">
        <w:rPr>
          <w:rFonts w:ascii="Times New Roman" w:hAnsi="Times New Roman" w:cs="Times New Roman"/>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BA5928">
        <w:rPr>
          <w:rFonts w:ascii="Times New Roman" w:hAnsi="Times New Roman" w:cs="Times New Roman"/>
          <w:sz w:val="20"/>
          <w:szCs w:val="20"/>
        </w:rPr>
        <w:t>is</w:t>
      </w:r>
      <w:proofErr w:type="gramEnd"/>
      <w:r w:rsidRPr="00BA5928">
        <w:rPr>
          <w:rFonts w:ascii="Times New Roman" w:hAnsi="Times New Roman" w:cs="Times New Roman"/>
          <w:sz w:val="20"/>
          <w:szCs w:val="20"/>
        </w:rPr>
        <w:t xml:space="preserve">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Excess emissions and continuous monitoring system performance report and summary report. </w:t>
      </w:r>
      <w:r w:rsidRPr="00BA5928">
        <w:rPr>
          <w:rFonts w:ascii="Times New Roman" w:hAnsi="Times New Roman" w:cs="Times New Roman"/>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More frequent reporting is specifically required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(B) The Administrator determines on a case-by-case basis that more frequent reporting is necessary to accurately assess the compliance status of the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affected source is complying with the Performance Track Provisions of §63.16, which allows less frequent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Request to reduce frequency of excess emissions and continuous monitoring system performance reports. </w:t>
      </w:r>
      <w:r w:rsidRPr="00BA5928">
        <w:rPr>
          <w:rFonts w:ascii="Times New Roman" w:hAnsi="Times New Roman" w:cs="Times New Roman"/>
          <w:sz w:val="20"/>
          <w:szCs w:val="20"/>
        </w:rPr>
        <w:t>Notwithstanding the frequency of reporting requirements specified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owner or operator continues to comply with all recordkeeping and monitoring requirements specified in this subpart and the relevant standard;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does not object to a reduced frequency of reporting for the affected source, as provided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 </w:t>
      </w:r>
      <w:r w:rsidRPr="00BA5928">
        <w:rPr>
          <w:rFonts w:ascii="Times New Roman" w:hAnsi="Times New Roman" w:cs="Times New Roman"/>
          <w:i/>
          <w:iCs/>
          <w:sz w:val="20"/>
          <w:szCs w:val="20"/>
        </w:rPr>
        <w:t xml:space="preserve">Content and submittal dates for excess emissions and monitoring system performance reports. </w:t>
      </w:r>
      <w:r w:rsidRPr="00BA5928">
        <w:rPr>
          <w:rFonts w:ascii="Times New Roman" w:hAnsi="Times New Roman" w:cs="Times New Roman"/>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 xml:space="preserve">(vi) </w:t>
      </w:r>
      <w:r w:rsidRPr="00BA5928">
        <w:rPr>
          <w:rFonts w:ascii="Times New Roman" w:hAnsi="Times New Roman" w:cs="Times New Roman"/>
          <w:i/>
          <w:iCs/>
          <w:sz w:val="20"/>
          <w:szCs w:val="20"/>
        </w:rPr>
        <w:t>Summary</w:t>
      </w:r>
      <w:proofErr w:type="gramEnd"/>
      <w:r w:rsidRPr="00BA5928">
        <w:rPr>
          <w:rFonts w:ascii="Times New Roman" w:hAnsi="Times New Roman" w:cs="Times New Roman"/>
          <w:i/>
          <w:iCs/>
          <w:sz w:val="20"/>
          <w:szCs w:val="20"/>
        </w:rPr>
        <w:t xml:space="preserve"> report. </w:t>
      </w:r>
      <w:r w:rsidRPr="00BA5928">
        <w:rPr>
          <w:rFonts w:ascii="Times New Roman" w:hAnsi="Times New Roman" w:cs="Times New Roman"/>
          <w:sz w:val="20"/>
          <w:szCs w:val="20"/>
        </w:rPr>
        <w:t>As required under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company name and address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identification of each hazardous air pollutant monitored at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beginning and ending dates of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 brief description of the process units;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emission and operating parameter limitations specified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monitoring equipment manufacturer(s) and model number(s);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date of the latest CMS certification or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total operating time of the affected source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A description of any changes in CMS, processes, or controls since the last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The name, title, and signature of the responsible official who is certifying the accuracy of the report;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The date of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(4) </w:t>
      </w:r>
      <w:r w:rsidRPr="00BA5928">
        <w:rPr>
          <w:rFonts w:ascii="Times New Roman" w:hAnsi="Times New Roman" w:cs="Times New Roman"/>
          <w:i/>
          <w:iCs/>
          <w:sz w:val="20"/>
          <w:szCs w:val="20"/>
        </w:rPr>
        <w:t xml:space="preserve">Reporting continuous opacity monitoring system data produced during a performance test. </w:t>
      </w:r>
      <w:r w:rsidRPr="00BA5928">
        <w:rPr>
          <w:rFonts w:ascii="Times New Roman" w:hAnsi="Times New Roman" w:cs="Times New Roman"/>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Waiver of recordkeeping or reporting requirements. </w:t>
      </w:r>
      <w:r w:rsidRPr="00BA5928">
        <w:rPr>
          <w:rFonts w:ascii="Times New Roman" w:hAnsi="Times New Roman" w:cs="Times New Roman"/>
          <w:sz w:val="20"/>
          <w:szCs w:val="20"/>
        </w:rPr>
        <w:t>(1) Until a waiver of a recordkeeping or reporting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Administrator will approve or deny a request for a waiver of recordkeeping or reporting requirements under this paragraph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waiver of any recordkeeping or reporting requirement granted under this paragraph may be conditioned on other recordkeeping or reporting requirements deemed necessary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 69 FR 21752, Apr. 22, 2004; 71 FR 20455, Apr. 20, 2006]</w:t>
      </w:r>
    </w:p>
    <w:p w:rsidR="00BA5928" w:rsidRPr="00BA5928" w:rsidRDefault="00BA5928" w:rsidP="00BA5928">
      <w:pPr>
        <w:pStyle w:val="Heading5"/>
        <w:jc w:val="left"/>
        <w:rPr>
          <w:sz w:val="20"/>
        </w:rPr>
      </w:pPr>
      <w:r w:rsidRPr="00BA5928">
        <w:rPr>
          <w:sz w:val="20"/>
        </w:rPr>
        <w:t>63.11   Control device and work practice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BA5928">
        <w:rPr>
          <w:rFonts w:ascii="Times New Roman" w:hAnsi="Times New Roman" w:cs="Times New Roman"/>
          <w:sz w:val="20"/>
          <w:szCs w:val="20"/>
        </w:rPr>
        <w:t>Method</w:t>
      </w:r>
      <w:proofErr w:type="gramEnd"/>
      <w:r w:rsidRPr="00BA5928">
        <w:rPr>
          <w:rFonts w:ascii="Times New Roman" w:hAnsi="Times New Roman" w:cs="Times New Roman"/>
          <w:sz w:val="20"/>
          <w:szCs w:val="20"/>
        </w:rPr>
        <w:t xml:space="preserve">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Flares. </w:t>
      </w:r>
      <w:r w:rsidRPr="00BA5928">
        <w:rPr>
          <w:rFonts w:ascii="Times New Roman" w:hAnsi="Times New Roman" w:cs="Times New Roman"/>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Flares shall be steam-assisted, air-assisted, or non-assisted.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Flares shall be operated at all times when emissions may be vented to them.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Flares shall be operated with a flame present at all times. The presence of a flare pilot flame shall be monitored using a thermocouple or any other equivalent device to detect the presence of a flame.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An owner/operator has the choice of adhering to the heat content specifications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6)(ii) of this section, and the maximum tip velocity specifications in paragraph (b)(7) or (b)(8) of this section, or adhering to the requirements in paragraph (b)(6)(i)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w:t>
      </w:r>
      <w:proofErr w:type="gramEnd"/>
      <w:r w:rsidRPr="00BA5928">
        <w:rPr>
          <w:rFonts w:ascii="Times New Roman" w:hAnsi="Times New Roman" w:cs="Times New Roman"/>
          <w:sz w:val="20"/>
          <w:szCs w:val="20"/>
        </w:rPr>
        <w:t>)(A) Flares shall be used that have a diameter of 3 inches or greater, are nonassisted, have a hydrogen content of 8.0 percent (by volume) or greater, and are designed for and operated with an exit velocity less than 37.2 m/sec (122 ft/sec) and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 K</w:t>
      </w:r>
      <w:r w:rsidRPr="00BA5928">
        <w:rPr>
          <w:rFonts w:ascii="Times New Roman" w:hAnsi="Times New Roman" w:cs="Times New Roman"/>
          <w:sz w:val="20"/>
          <w:szCs w:val="20"/>
          <w:vertAlign w:val="subscript"/>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=Constant, 6.0 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=Constant, 3.9(m/sec)/volume-percent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The</w:t>
      </w:r>
      <w:proofErr w:type="gramEnd"/>
      <w:r w:rsidRPr="00BA5928">
        <w:rPr>
          <w:rFonts w:ascii="Times New Roman" w:hAnsi="Times New Roman" w:cs="Times New Roman"/>
          <w:sz w:val="20"/>
          <w:szCs w:val="20"/>
        </w:rPr>
        <w:t xml:space="preserve"> volume-percent of hydrogen, on a wet basis, as calculated by using the American Society for Testing and Materials (ASTM) Method D1946–77.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actual exit velocity of a flare shall be determined by the method specified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998855" cy="431800"/>
            <wp:effectExtent l="19050" t="0" r="0" b="0"/>
            <wp:docPr id="19" name="Picture 19"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04my98"/>
                    <pic:cNvPicPr>
                      <a:picLocks noChangeAspect="1" noChangeArrowheads="1"/>
                    </pic:cNvPicPr>
                  </pic:nvPicPr>
                  <pic:blipFill>
                    <a:blip r:embed="rId34" cstate="print"/>
                    <a:srcRect/>
                    <a:stretch>
                      <a:fillRect/>
                    </a:stretch>
                  </pic:blipFill>
                  <pic:spPr bwMode="auto">
                    <a:xfrm>
                      <a:off x="0" y="0"/>
                      <a:ext cx="99885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K=Constant=</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2336800" cy="457200"/>
            <wp:effectExtent l="19050" t="0" r="6350" b="0"/>
            <wp:docPr id="20" name="Picture 20"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r04my98"/>
                    <pic:cNvPicPr>
                      <a:picLocks noChangeAspect="1" noChangeArrowheads="1"/>
                    </pic:cNvPicPr>
                  </pic:nvPicPr>
                  <pic:blipFill>
                    <a:blip r:embed="rId35" cstate="print"/>
                    <a:srcRect/>
                    <a:stretch>
                      <a:fillRect/>
                    </a:stretch>
                  </pic:blipFill>
                  <pic:spPr bwMode="auto">
                    <a:xfrm>
                      <a:off x="0" y="0"/>
                      <a:ext cx="2336800" cy="4572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where</w:t>
      </w:r>
      <w:proofErr w:type="gramEnd"/>
      <w:r w:rsidRPr="00BA5928">
        <w:rPr>
          <w:rFonts w:ascii="Times New Roman" w:hAnsi="Times New Roman" w:cs="Times New Roman"/>
          <w:sz w:val="20"/>
          <w:szCs w:val="20"/>
        </w:rPr>
        <w:t xml:space="preserve"> the standard temperature for (g-mole/scm)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n=Number of sample components.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Steam-assisted and nonassisted flares designed for and operated with an exit velocity, as determined by the method specified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7)(i) of this section, equal to or greater than 18.3 m/sec (60 ft/sec) but less than 122 m/sec (400 ft/sec), are allowed if the net heating value of the gas being combusted is greater than 37.3 MJ/scm (1,000 Btu/scf).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Steam-assisted and nonassisted flares designed for and operated with an exit velocity, as determined by the method specified in paragraph (b)(7)(i) of this section,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method specified in this paragraph, but less than 122 m/sec (400 ft/sec) are allowed.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flares complying with this paragraph shall be determined by the following equation:</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Log</w:t>
      </w:r>
      <w:r w:rsidRPr="00BA5928">
        <w:rPr>
          <w:rFonts w:ascii="Times New Roman" w:hAnsi="Times New Roman" w:cs="Times New Roman"/>
          <w:sz w:val="20"/>
          <w:szCs w:val="20"/>
          <w:vertAlign w:val="subscript"/>
        </w:rPr>
        <w:t>10</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+28.8)/31.7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31.7=Constant.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(8) Air-assisted flares shall be designed and operated with an exit velocity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air-assisted flares shall be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=8.71+0.708(H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8.71=Constant.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0.708=Constant.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Alternative work practice for monitoring equipment for leaks. </w:t>
      </w:r>
      <w:r w:rsidRPr="00BA5928">
        <w:rPr>
          <w:rFonts w:ascii="Times New Roman" w:hAnsi="Times New Roman" w:cs="Times New Roman"/>
          <w:sz w:val="20"/>
          <w:szCs w:val="20"/>
        </w:rPr>
        <w:t xml:space="preserve">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w:t>
      </w:r>
      <w:proofErr w:type="gramStart"/>
      <w:r w:rsidRPr="00BA5928">
        <w:rPr>
          <w:rFonts w:ascii="Times New Roman" w:hAnsi="Times New Roman" w:cs="Times New Roman"/>
          <w:sz w:val="20"/>
          <w:szCs w:val="20"/>
        </w:rPr>
        <w:t>Method</w:t>
      </w:r>
      <w:proofErr w:type="gramEnd"/>
      <w:r w:rsidRPr="00BA5928">
        <w:rPr>
          <w:rFonts w:ascii="Times New Roman" w:hAnsi="Times New Roman" w:cs="Times New Roman"/>
          <w:sz w:val="20"/>
          <w:szCs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through (5) of this section have meanings that are specific to the alternative work practice standard in paragraphs (c),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Applicable subpart </w:t>
      </w:r>
      <w:r w:rsidRPr="00BA5928">
        <w:rPr>
          <w:rFonts w:ascii="Times New Roman" w:hAnsi="Times New Roman" w:cs="Times New Roman"/>
          <w:sz w:val="20"/>
          <w:szCs w:val="20"/>
        </w:rPr>
        <w:t xml:space="preserve">means the subpart in 40 CFR parts 60, 61, 63, and 65 that requires monitoring of equipment with a 40 CFR part 60, appendix A–7, </w:t>
      </w:r>
      <w:proofErr w:type="gramStart"/>
      <w:r w:rsidRPr="00BA5928">
        <w:rPr>
          <w:rFonts w:ascii="Times New Roman" w:hAnsi="Times New Roman" w:cs="Times New Roman"/>
          <w:sz w:val="20"/>
          <w:szCs w:val="20"/>
        </w:rPr>
        <w:t>Method</w:t>
      </w:r>
      <w:proofErr w:type="gramEnd"/>
      <w:r w:rsidRPr="00BA5928">
        <w:rPr>
          <w:rFonts w:ascii="Times New Roman" w:hAnsi="Times New Roman" w:cs="Times New Roman"/>
          <w:sz w:val="20"/>
          <w:szCs w:val="20"/>
        </w:rPr>
        <w:t xml:space="preserve">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Equipment </w:t>
      </w:r>
      <w:r w:rsidRPr="00BA5928">
        <w:rPr>
          <w:rFonts w:ascii="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Imaging </w:t>
      </w:r>
      <w:r w:rsidRPr="00BA5928">
        <w:rPr>
          <w:rFonts w:ascii="Times New Roman" w:hAnsi="Times New Roman" w:cs="Times New Roman"/>
          <w:sz w:val="20"/>
          <w:szCs w:val="20"/>
        </w:rPr>
        <w:t>means making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Optical gas imaging instrument </w:t>
      </w:r>
      <w:r w:rsidRPr="00BA5928">
        <w:rPr>
          <w:rFonts w:ascii="Times New Roman" w:hAnsi="Times New Roman" w:cs="Times New Roman"/>
          <w:sz w:val="20"/>
          <w:szCs w:val="20"/>
        </w:rPr>
        <w:t>means an instrument that makes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Repair </w:t>
      </w:r>
      <w:r w:rsidRPr="00BA5928">
        <w:rPr>
          <w:rFonts w:ascii="Times New Roman" w:hAnsi="Times New Roman" w:cs="Times New Roman"/>
          <w:sz w:val="20"/>
          <w:szCs w:val="20"/>
        </w:rPr>
        <w:t>means that equipment is adjusted, or otherwise altered, in order to eliminate a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Leak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Any emissions imaged by the optical gas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Indications of liquids dripping;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Indications by a sensor that a seal or barrier fluid system has failed;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(iv) Screening results using a 40 CFR part 60, appendix A–7, Method 21 monitor </w:t>
      </w:r>
      <w:proofErr w:type="gramStart"/>
      <w:r w:rsidRPr="00BA5928">
        <w:rPr>
          <w:rFonts w:ascii="Times New Roman" w:hAnsi="Times New Roman" w:cs="Times New Roman"/>
          <w:sz w:val="20"/>
          <w:szCs w:val="20"/>
        </w:rPr>
        <w:t>that exceed</w:t>
      </w:r>
      <w:proofErr w:type="gramEnd"/>
      <w:r w:rsidRPr="00BA5928">
        <w:rPr>
          <w:rFonts w:ascii="Times New Roman" w:hAnsi="Times New Roman" w:cs="Times New Roman"/>
          <w:sz w:val="20"/>
          <w:szCs w:val="20"/>
        </w:rPr>
        <w:t xml:space="preserve"> the leak definition in the applicable subpart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(d) The alternative work practice standard for monitoring equipment for leaks is available to all subparts in 40 CFR parts 60, 61, 63, and 65 that require monitoring of equipment with a 40 CFR part 60, appendix A–7, </w:t>
      </w:r>
      <w:proofErr w:type="gramStart"/>
      <w:r w:rsidRPr="00BA5928">
        <w:rPr>
          <w:rFonts w:ascii="Times New Roman" w:hAnsi="Times New Roman" w:cs="Times New Roman"/>
          <w:sz w:val="20"/>
          <w:szCs w:val="20"/>
        </w:rPr>
        <w:t>Method</w:t>
      </w:r>
      <w:proofErr w:type="gramEnd"/>
      <w:r w:rsidRPr="00BA5928">
        <w:rPr>
          <w:rFonts w:ascii="Times New Roman" w:hAnsi="Times New Roman" w:cs="Times New Roman"/>
          <w:sz w:val="20"/>
          <w:szCs w:val="20"/>
        </w:rPr>
        <w:t xml:space="preserve">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BA5928">
        <w:rPr>
          <w:rFonts w:ascii="Times New Roman" w:hAnsi="Times New Roman" w:cs="Times New Roman"/>
          <w:sz w:val="20"/>
          <w:szCs w:val="20"/>
        </w:rPr>
        <w:t>Method</w:t>
      </w:r>
      <w:proofErr w:type="gramEnd"/>
      <w:r w:rsidRPr="00BA5928">
        <w:rPr>
          <w:rFonts w:ascii="Times New Roman" w:hAnsi="Times New Roman" w:cs="Times New Roman"/>
          <w:sz w:val="20"/>
          <w:szCs w:val="20"/>
        </w:rPr>
        <w:t xml:space="preserve"> 21 monitor to identify leaking equipment. The owner or operator must document the equipment, process units, and facilities for which the alternative work practice will be used to identify leaks.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Any leak detected when following the leak survey procedure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 of this section must be identified for repair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If the alternative work practice is used to identify leaks, re-screening after an attempted repair of leaking equipment must be conducted using either the alternative work practice or the 40 CFR </w:t>
      </w:r>
      <w:proofErr w:type="gramStart"/>
      <w:r w:rsidRPr="00BA5928">
        <w:rPr>
          <w:rFonts w:ascii="Times New Roman" w:hAnsi="Times New Roman" w:cs="Times New Roman"/>
          <w:sz w:val="20"/>
          <w:szCs w:val="20"/>
        </w:rPr>
        <w:t>part</w:t>
      </w:r>
      <w:proofErr w:type="gramEnd"/>
      <w:r w:rsidRPr="00BA5928">
        <w:rPr>
          <w:rFonts w:ascii="Times New Roman" w:hAnsi="Times New Roman" w:cs="Times New Roman"/>
          <w:sz w:val="20"/>
          <w:szCs w:val="20"/>
        </w:rPr>
        <w:t xml:space="preserve"> 60, Appendix A–7, Method 21 monitor at the leak definition required in the applicable subparts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schedule for repair is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When this alternative work practice is used for detecting leaking equipment, the following are not applicable for the equipment being monitored: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Skip period leak detection and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Quality improvement plans;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Complying with standards for allowable percentage of valves and pumps to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An owner or operator of an affected source who chooses to use the alternative work practice must comply with the requirements of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through (e)(5)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Instrument specifications. </w:t>
      </w:r>
      <w:r w:rsidRPr="00BA5928">
        <w:rPr>
          <w:rFonts w:ascii="Times New Roman" w:hAnsi="Times New Roman" w:cs="Times New Roman"/>
          <w:sz w:val="20"/>
          <w:szCs w:val="20"/>
        </w:rPr>
        <w:t>The optical gas imaging instrument must comply with the requirements specified in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1)(i) and (e)(1)(ii)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 of this section. The detection sensitivity level depends upon the frequency at which leak monitoring is to be performed.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date and time stamp for video records of every monitoring event.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Daily instrument check. </w:t>
      </w:r>
      <w:r w:rsidRPr="00BA5928">
        <w:rPr>
          <w:rFonts w:ascii="Times New Roman" w:hAnsi="Times New Roman" w:cs="Times New Roman"/>
          <w:sz w:val="20"/>
          <w:szCs w:val="20"/>
        </w:rPr>
        <w:t xml:space="preserve">On a daily basis, and prior to beginning any leak monitoring work, test the optical gas imaging instrument at the mass flow rate determined in paragraph (e)(2)(i) of this section in accordance with the procedure specified </w:t>
      </w:r>
      <w:r w:rsidRPr="00BA5928">
        <w:rPr>
          <w:rFonts w:ascii="Times New Roman" w:hAnsi="Times New Roman" w:cs="Times New Roman"/>
          <w:sz w:val="20"/>
          <w:szCs w:val="20"/>
        </w:rPr>
        <w:lastRenderedPageBreak/>
        <w:t>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Calculate the mass flow rate to be used in the daily instrument check by following the procedures in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2)(i)(A) and (e)(2)(i)(B)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821055" cy="347345"/>
            <wp:effectExtent l="19050" t="0" r="0" b="0"/>
            <wp:docPr id="21" name="Picture 21"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22de08"/>
                    <pic:cNvPicPr>
                      <a:picLocks noChangeAspect="1" noChangeArrowheads="1"/>
                    </pic:cNvPicPr>
                  </pic:nvPicPr>
                  <pic:blipFill>
                    <a:blip r:embed="rId36" cstate="print"/>
                    <a:srcRect/>
                    <a:stretch>
                      <a:fillRect/>
                    </a:stretch>
                  </pic:blipFill>
                  <pic:spPr bwMode="auto">
                    <a:xfrm>
                      <a:off x="0" y="0"/>
                      <a:ext cx="821055" cy="347345"/>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dic</w:t>
      </w:r>
      <w:r w:rsidRPr="00BA5928">
        <w:rPr>
          <w:rFonts w:ascii="Times New Roman" w:hAnsi="Times New Roman" w:cs="Times New Roman"/>
          <w:sz w:val="20"/>
          <w:szCs w:val="20"/>
        </w:rPr>
        <w:t>= Mass flow rate for the daily instrument check, grams per hour</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i</w:t>
      </w:r>
      <w:proofErr w:type="gramEnd"/>
      <w:r w:rsidRPr="00BA5928">
        <w:rPr>
          <w:rFonts w:ascii="Times New Roman" w:hAnsi="Times New Roman" w:cs="Times New Roman"/>
          <w:sz w:val="20"/>
          <w:szCs w:val="20"/>
        </w:rPr>
        <w:t>= Mass fraction of detectable chemical(s) i seen by the optical gas imaging instrument, within the distance to be used in paragraph (e)(2)(iv)(B) of this section, at or below the standard detection sensitivity level, 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 Standard detection sensitivity level from Table 1 to subpart A, grams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Total number of detectable chemicals emitted from the leaking equipment and seen by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Use any gas chosen by the user that can be viewed by the optical gas imaging instrument and that has a purity of no less than 98 percent.</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(iv) Establish</w:t>
      </w:r>
      <w:proofErr w:type="gramEnd"/>
      <w:r w:rsidRPr="00BA5928">
        <w:rPr>
          <w:rFonts w:ascii="Times New Roman" w:hAnsi="Times New Roman" w:cs="Times New Roman"/>
          <w:sz w:val="20"/>
          <w:szCs w:val="20"/>
        </w:rPr>
        <w:t xml:space="preserve"> a mass flow rate by using the following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Provide a source of gas where it will be in the field of view of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Repeat the procedures specified in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2)(ii) through (e)(2)(iv) of this section for each configuration of the optical gas imaging instrument used during the leak survey.</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lastRenderedPageBreak/>
        <w:t>(vi) To</w:t>
      </w:r>
      <w:proofErr w:type="gramEnd"/>
      <w:r w:rsidRPr="00BA5928">
        <w:rPr>
          <w:rFonts w:ascii="Times New Roman" w:hAnsi="Times New Roman" w:cs="Times New Roman"/>
          <w:sz w:val="20"/>
          <w:szCs w:val="20"/>
        </w:rPr>
        <w:t xml:space="preserve"> use an alternative method to demonstrate daily instrument checks, apply to the Administrator for approval of the alternative under §63.177 or §63.178,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Leak survey procedure. </w:t>
      </w:r>
      <w:r w:rsidRPr="00BA5928">
        <w:rPr>
          <w:rFonts w:ascii="Times New Roman" w:hAnsi="Times New Roman" w:cs="Times New Roman"/>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Recordkeeping. </w:t>
      </w:r>
      <w:r w:rsidRPr="00BA5928">
        <w:rPr>
          <w:rFonts w:ascii="Times New Roman" w:hAnsi="Times New Roman" w:cs="Times New Roman"/>
          <w:sz w:val="20"/>
          <w:szCs w:val="20"/>
        </w:rPr>
        <w:t>Keep the records described in paragraphs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4)(i) through (e)(4)(vii)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The </w:t>
      </w:r>
      <w:proofErr w:type="gramStart"/>
      <w:r w:rsidRPr="00BA5928">
        <w:rPr>
          <w:rFonts w:ascii="Times New Roman" w:hAnsi="Times New Roman" w:cs="Times New Roman"/>
          <w:sz w:val="20"/>
          <w:szCs w:val="20"/>
        </w:rPr>
        <w:t>equipment,</w:t>
      </w:r>
      <w:proofErr w:type="gramEnd"/>
      <w:r w:rsidRPr="00BA5928">
        <w:rPr>
          <w:rFonts w:ascii="Times New Roman" w:hAnsi="Times New Roman" w:cs="Times New Roman"/>
          <w:sz w:val="20"/>
          <w:szCs w:val="20"/>
        </w:rPr>
        <w:t xml:space="preserve"> processes, and facilities for which the owner or operator chooses to use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detection sensitivity level selected from Table 1 to subpart A of this part for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analysis to determine the piece of equipment in contact with the lowest mass fraction of chemicals that are detectable, as specified in paragraph (e)(2)(i)(A)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technical basis for the mass fraction of detectable chemicals used in the equation in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daily instrument check. Record the distance, per paragraph (e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 xml:space="preserve">(vi) </w:t>
      </w:r>
      <w:r w:rsidRPr="00BA5928">
        <w:rPr>
          <w:rFonts w:ascii="Times New Roman" w:hAnsi="Times New Roman" w:cs="Times New Roman"/>
          <w:i/>
          <w:iCs/>
          <w:sz w:val="20"/>
          <w:szCs w:val="20"/>
        </w:rPr>
        <w:t>Recordkeeping</w:t>
      </w:r>
      <w:proofErr w:type="gramEnd"/>
      <w:r w:rsidRPr="00BA5928">
        <w:rPr>
          <w:rFonts w:ascii="Times New Roman" w:hAnsi="Times New Roman" w:cs="Times New Roman"/>
          <w:i/>
          <w:iCs/>
          <w:sz w:val="20"/>
          <w:szCs w:val="20"/>
        </w:rPr>
        <w:t xml:space="preserve"> requirements in the applicable subpart. </w:t>
      </w:r>
      <w:r w:rsidRPr="00BA5928">
        <w:rPr>
          <w:rFonts w:ascii="Times New Roman" w:hAnsi="Times New Roman" w:cs="Times New Roman"/>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The results of the annual Method 21 screening required in paragraph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7) of this section. Records must be kept for all regulated equipment specified in paragraph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this section. Records must identify the equipment screened, the screening value measured by Method 21, the time and date of the screening, and calibration information required in the existing applicable subparts.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w:t>
      </w:r>
      <w:r w:rsidRPr="00BA5928">
        <w:rPr>
          <w:rFonts w:ascii="Times New Roman" w:hAnsi="Times New Roman" w:cs="Times New Roman"/>
          <w:sz w:val="20"/>
          <w:szCs w:val="20"/>
        </w:rPr>
        <w:t>Submit the reports required in the applicable subpart. Submit the records of the annual Method 21 screening required in paragraph (h</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7) of this section to the Administrator via e-mail to </w:t>
      </w:r>
      <w:r w:rsidRPr="00BA5928">
        <w:rPr>
          <w:rFonts w:ascii="Times New Roman" w:hAnsi="Times New Roman" w:cs="Times New Roman"/>
          <w:i/>
          <w:iCs/>
          <w:sz w:val="20"/>
          <w:szCs w:val="20"/>
        </w:rPr>
        <w:t xml:space="preserve">CCG-AWP@EPA.GOV.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24444, May 4, 1998; 65 FR 62215, Oct. 17, 2000; 67 FR 16605, Apr. 5, 2002; 73 FR 78211, Dec. 22, 2008]</w:t>
      </w:r>
    </w:p>
    <w:p w:rsidR="00BA5928" w:rsidRPr="00BA5928" w:rsidRDefault="00BA5928" w:rsidP="00BA5928">
      <w:pPr>
        <w:pStyle w:val="Heading5"/>
        <w:jc w:val="left"/>
        <w:rPr>
          <w:sz w:val="20"/>
        </w:rPr>
      </w:pPr>
      <w:r w:rsidRPr="00BA5928">
        <w:rPr>
          <w:sz w:val="20"/>
        </w:rPr>
        <w:t> 63.12   State authority and delegations.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provisions of this part shall not be construed in any manner to preclude any State or political subdivision thereof from—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Requiring the owner or operator of an affected source to obtain permits, licenses, or approvals prior to initiating construction, reconstruction, modification, or operation of such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Requiring emission reductions in excess of those specified in subpart D of this part as a condition for granting the extension of compliance authorized by section 112(i)(5)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BA5928" w:rsidRPr="00BA5928" w:rsidRDefault="00BA5928" w:rsidP="00BA5928">
      <w:pPr>
        <w:pStyle w:val="Heading5"/>
        <w:rPr>
          <w:sz w:val="20"/>
        </w:rPr>
      </w:pPr>
      <w:r w:rsidRPr="00BA5928">
        <w:rPr>
          <w:sz w:val="20"/>
        </w:rPr>
        <w:t>§ 63.13   </w:t>
      </w:r>
      <w:proofErr w:type="gramStart"/>
      <w:r w:rsidRPr="00BA5928">
        <w:rPr>
          <w:sz w:val="20"/>
        </w:rPr>
        <w:t>Addresses</w:t>
      </w:r>
      <w:proofErr w:type="gramEnd"/>
      <w:r w:rsidRPr="00BA5928">
        <w:rPr>
          <w:sz w:val="20"/>
        </w:rPr>
        <w:t xml:space="preserve"> of State air pollution control agencies and EPA Regional Offices.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EPA Region I (Connecticut, Maine, Massachusetts, New Hampshire, Rhode Island, Vermont), Director, Office of Ecosystem Protection, 5 Post Office Square—Suite 100, Boston, MA 02109–3912.</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EPA Region II (New Jersey, New York, Puerto Rico, Virgin Islands), Director, Air and Waste Management Division, 26 Federal </w:t>
      </w:r>
      <w:proofErr w:type="gramStart"/>
      <w:r w:rsidRPr="00BA5928">
        <w:rPr>
          <w:rFonts w:ascii="Times New Roman" w:hAnsi="Times New Roman" w:cs="Times New Roman"/>
          <w:sz w:val="20"/>
          <w:szCs w:val="20"/>
        </w:rPr>
        <w:t>Plaza</w:t>
      </w:r>
      <w:proofErr w:type="gramEnd"/>
      <w:r w:rsidRPr="00BA5928">
        <w:rPr>
          <w:rFonts w:ascii="Times New Roman" w:hAnsi="Times New Roman" w:cs="Times New Roman"/>
          <w:sz w:val="20"/>
          <w:szCs w:val="20"/>
        </w:rPr>
        <w:t>, New York, NY 10278.</w:t>
      </w:r>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EPA Region III (Delaware, District of Columbia, Maryland, Pennsylvania, Virginia, West Virginia), Director, Air Protection Division, 1650 Arch Street, Philadelphia, PA 19103.</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EPA Region IV (Alabama, Florida, Georgia, Kentucky, Mississippi, North Carolina, South Carolina, Tennessee). </w:t>
      </w:r>
      <w:proofErr w:type="gramStart"/>
      <w:r w:rsidRPr="00BA5928">
        <w:rPr>
          <w:rFonts w:ascii="Times New Roman" w:hAnsi="Times New Roman" w:cs="Times New Roman"/>
          <w:sz w:val="20"/>
          <w:szCs w:val="20"/>
        </w:rPr>
        <w:t>Director, Air, Pesticides and Toxics Management Division, Atlanta Federal Center, 61 Forsyth Street, Atlanta, GA 30303–3104.</w:t>
      </w:r>
      <w:proofErr w:type="gramEnd"/>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EPA Region V (Illinois, Indiana, Michigan, Minnesota, Ohio, Wisconsin), Director, Air and Radiation Division, 77 West Jackson Blvd., Chicago, IL 60604–3507.</w:t>
      </w:r>
      <w:proofErr w:type="gramEnd"/>
    </w:p>
    <w:p w:rsidR="00BA5928" w:rsidRPr="00BA5928" w:rsidRDefault="00BA5928" w:rsidP="00BA5928">
      <w:pPr>
        <w:pStyle w:val="NormalWeb"/>
        <w:rPr>
          <w:rFonts w:ascii="Times New Roman" w:hAnsi="Times New Roman" w:cs="Times New Roman"/>
          <w:sz w:val="20"/>
          <w:szCs w:val="20"/>
        </w:rPr>
      </w:pPr>
      <w:proofErr w:type="gramStart"/>
      <w:r w:rsidRPr="00BA5928">
        <w:rPr>
          <w:rFonts w:ascii="Times New Roman" w:hAnsi="Times New Roman" w:cs="Times New Roman"/>
          <w:sz w:val="20"/>
          <w:szCs w:val="20"/>
        </w:rPr>
        <w:t>EPA Region VI (Arkansas, Louisiana, New Mexico, Oklahoma, Texas), Director, Air, Pesticides and Toxics, 1445 Ross Avenue, Dallas, TX 75202–2733.</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 (Iowa, Kansas, Missouri, Nebraska), Director, Air, RCRA, and Toxics Division, U.S. Environmental Protection Agency, 901 N. 5th Street, Kansas City, KS 66101.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X (Alaska, Idaho, Oregon, Washington), Director, Office of Air Quality, 1200 Sixth Avenue (OAQ–107), Seattle, WA 98101.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66061, Dec. 1, 1998; 67 FR 4184, Jan. 29, 2002; 68 FR 32601, May 30, 2003; 68 FR 35792, June 17, 2003; 73 FR 24871, May 6, 2008; 75 FR 69532, Nov. 12, 2010; 76 FR 49673, Aug. 11, 2011]</w:t>
      </w:r>
    </w:p>
    <w:p w:rsidR="00BA5928" w:rsidRPr="00BA5928" w:rsidRDefault="00BA5928" w:rsidP="00BA5928">
      <w:pPr>
        <w:pStyle w:val="Heading5"/>
        <w:jc w:val="left"/>
        <w:rPr>
          <w:sz w:val="20"/>
        </w:rPr>
      </w:pPr>
      <w:r w:rsidRPr="00BA5928">
        <w:rPr>
          <w:sz w:val="20"/>
        </w:rPr>
        <w:t> 63.14   Incorporations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BA5928">
        <w:rPr>
          <w:rFonts w:ascii="Times New Roman" w:hAnsi="Times New Roman" w:cs="Times New Roman"/>
          <w:i/>
          <w:iCs/>
          <w:sz w:val="20"/>
          <w:szCs w:val="20"/>
        </w:rPr>
        <w:t xml:space="preserve">http://www.archives.gov/federal_register/code_of_federal_regulations/ibr_locations.html.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ASTM D523–89, Standard Test Method for Specular Gloss,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ASTM D1193–77, 91, Standard Specification for Reagent Water, IBR approved for appendix A: Method 306, Sections 7.1.1 and 7.4.2.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ASTM D1331–89, Standard Test Methods for Surface and Interfacial Tension of Solutions of Surface Active Agents, IBR approved for appendix A: Method 306B, Sections 6.2, 11.1, and 12.2.2.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ASTM D1475–90, Standard Test Method for Density of Paint, Varnish Lacquer, and Related Products,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ASTM D1946–77, 90, 94, Standard Method for Analysis of Reformed Gas by Gas Chromatography, IBR approved for §63.11(b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ASTM D2369–93, 95, Standard Test Method for Volatile Content of Coatings,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(7) ASTM D2382–76, 88, Heat of Combustion of Hydrocarbon Fuels by Bomb Calorimeter (High-Precision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ASTM D2879–83, 96, Test Method for Vapor Pressure-Temperature Relationship and Initial Decomposition Temperature of Liquids by Isoteniscope,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ASTM D3257–93, Standard Test Methods for Aromatics in Mineral Spirits by Gas Chromatography,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ASTM 3695–88, Standard Test Method for Volatile Alcohols in Water by Direct Aqueous-Injection Gas Chromatography, IBR approved for §63.365(e)(1) of subpart 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ASTM D3792–91, Standard Method for Water Content of Water-Reducible Paints by Direct Injection into a Gas Chromatograph,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ASTM D3912–80, Standard Test Method for Chemical Resistance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ASTM D4017–90, 96a, Standard Test Method for Water in Paints and Paint Materials by the Karl Fischer Titration Method,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ASTM D4082–89, Standard Test Method for Effects of Gamma Radiation on Coatings for Use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ASTM D4256–89, 94, Standard Test Method for Determination of the Decontaminability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ASTM D4809–95, Standard Test Method for Heat of Combustion of Liquid Hydrocarbon Fuels by Bomb Calorimeter (Precision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(17) ASTM E180–93, Standard Practice for Determining the Precision of ASTM Methods for Analysis and Testing of Industrial Chemicals,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(18) ASTM E260–91, 96, General Practice for Packed Column Gas Chromatography, IBR approved for §§63.750(b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 and 63.786(b)(5).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(19)</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(21) ASTM D2099–00, Standard Test Method for Dynamic Water Resistance of Shoe Upper Leather by the Maeser Water Penetration Tester, IBR approved for §63.5350.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(22)</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(24) ASTM D2697–86 (Reapproved 1998), “Standard Test Method for Volume Nonvolatile Matter in Clear or Pigmented Coatings,” IBR approved for §§63.3161(f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(26) ASTM D1475–98 (Reapproved 2003), “Standard Test Method for Density of Liquid Coatings, Inks, and Related Products,” IBR approved for §§63.3151(b), 63.3941(b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63.3941(c), 63.3951(c), 63.4141(b)(3), 63.4141(c), and 63.4551(c).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(29) ASTM D6420–99, Standard Test Method for Determination of Gaseous Organic Compounds by Direct Interface Gas Chromatography-Mass Spectrometry, IBR approved for §§63.5799 and 63.5850.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(30) ASTM E 515–95 (Reapproved 2000), Standard Test Method for Leaks Using Bubble Emission Techniques, IBR approved for §63.425(i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 ASTM D5291–02, Standard Test Methods for Instrumental Determination of Carbon, Hydrogen, and Nitrogen in Petroleum Products and Lubricants,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(32) ASTM D5965–02, “Standard Test Methods for Specific Gravity of Coating Powders,” IBR approved for §§63.3151(b) and 63.3951(c).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(33) ASTM D6053–00, Standard Test Method for Determination of Volatile Organic Compound (VOC) Content of Electrical Insulating Varnishes,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E145–94 (Reapproved 2001), Standard Specification for Gravity-Convection and Forced-Ventilation Ovens, IBR approved for §63.4581,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(36) ASTM D5066–91 (Reapproved 2001), “Standard Test Method for Determination of the Transfer Efficiency </w:t>
      </w:r>
      <w:proofErr w:type="gramStart"/>
      <w:r w:rsidRPr="00BA5928">
        <w:rPr>
          <w:rFonts w:ascii="Times New Roman" w:hAnsi="Times New Roman" w:cs="Times New Roman"/>
          <w:sz w:val="20"/>
          <w:szCs w:val="20"/>
        </w:rPr>
        <w:t>Under</w:t>
      </w:r>
      <w:proofErr w:type="gramEnd"/>
      <w:r w:rsidRPr="00BA5928">
        <w:rPr>
          <w:rFonts w:ascii="Times New Roman" w:hAnsi="Times New Roman" w:cs="Times New Roman"/>
          <w:sz w:val="20"/>
          <w:szCs w:val="20"/>
        </w:rPr>
        <w:t xml:space="preserve"> Production Conditions for Spray Application of Automotive Paints-Weight Basis,” IBR approved for §63.3161(g).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(38) ASTM D6266–00a, “Test Method for Determining the Amount of Volatile Organic Compound (VOC) Released from Waterborne Automotive Coatings and Available for Removal in a VOC Control Device (Abatement),” IBR approved for §63.3165(e).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(39) ASTM Method D388–05, Standard Classification of Coals by Rank, approved September 15,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(40) ASTM D396–10 Standard Specification for Fuel Oils, approved October 1, 2010, IBR approved for §63.7575.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(41) ASTM Method D1835–05, Standard Specification for Liquefied Petroleum (LP) Gases, approved April 1,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(42) ASTM D2013/D2013M–09 Standard Practice for Preparing Coal Samples for Analysis, approved November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(43) ASTM D2234/D2234M–10 Standard Practice for Collection of a Gross Sample of Coal, approved January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(45)</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(47) ASTM D5198–09 Standard Practice for Nitric Acid Digestion of Solid Waste, approved February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(48) ASTM D5865–10a Standard Test Method for Gross Calorific Value of Coal and Coke, approved May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(51) ASTM E776–87 (Reapproved 2009) Standard Test Method for Forms of Chlorine in Refuse-Derived Fuel, approved July 1, 2009,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(52) ASTM E871–82 (Reapproved 2006) Standard Test Method for Moisture Analysis of Particulate Wood Fuels, approved November 1, 2006,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(53) ASTM E885–88 (Reapproved 1996), Standard Test Methods for Analyses of Metals in Refuse-Derived Fuel by Atomic Absorption Spectroscopy,</w:t>
      </w:r>
      <w:r w:rsidRPr="00BA5928">
        <w:rPr>
          <w:rFonts w:ascii="Times New Roman" w:hAnsi="Times New Roman" w:cs="Times New Roman"/>
          <w:sz w:val="20"/>
          <w:szCs w:val="20"/>
          <w:vertAlign w:val="superscript"/>
        </w:rPr>
        <w:t>1</w:t>
      </w:r>
      <w:r w:rsidRPr="00BA5928">
        <w:rPr>
          <w:rFonts w:ascii="Times New Roman" w:hAnsi="Times New Roman" w:cs="Times New Roman"/>
          <w:sz w:val="20"/>
          <w:szCs w:val="20"/>
        </w:rPr>
        <w:t xml:space="preserve"> IBR approved for table 6 to subpart DDDDD of this part 63.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(55)</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(57) ASTM D6721–01 (Reapproved 2006) Standard Test Method for Determination of Chlorine in Coal by Oxidative Hydrolysis Microcoulometry, approved April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(58)</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(63) ASTM D2216–05, “Standard Test Methods for Laboratory Determination of Water (Moisture) Content of Soil and Rock by Mass,” IBR approved for the definition of “Free organic liquids” in §63.10692.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(65) ASTM D 5228–92—“Standard Test Method for Determination of Butane Working Capacity of Activated Carbon,” reapproved 2005, IBR approved for §63.11092(b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 xml:space="preserve">1)(i)(B)(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ii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(67) ASTM D5954–98 (Reapproved 2006), Test Method for Mercury Sampling and Measurement in Natural Gas by Atomic Absorption Spectroscopy, approved December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(68) ASTM D6350–98 (Reapproved 2003) Standard Test Method for Mercury Sampling and Analysis in Natural Gas by Atomic Fluorescence Spectroscopy, approved May 10,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The materials listed below are available for purchase from the American Petroleum Institute (API), 1220 L Street, </w:t>
      </w:r>
      <w:proofErr w:type="gramStart"/>
      <w:r w:rsidRPr="00BA5928">
        <w:rPr>
          <w:rFonts w:ascii="Times New Roman" w:hAnsi="Times New Roman" w:cs="Times New Roman"/>
          <w:sz w:val="20"/>
          <w:szCs w:val="20"/>
        </w:rPr>
        <w:t>NW.,</w:t>
      </w:r>
      <w:proofErr w:type="gramEnd"/>
      <w:r w:rsidRPr="00BA5928">
        <w:rPr>
          <w:rFonts w:ascii="Times New Roman" w:hAnsi="Times New Roman" w:cs="Times New Roman"/>
          <w:sz w:val="20"/>
          <w:szCs w:val="20"/>
        </w:rPr>
        <w:t xml:space="preserve"> Washington, DC 20005.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API Publication 2517, Evaporative Loss from External Floating-Roof Tanks, Third Edition, February 1989,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API Publication 2518, Evaporative Loss from Fixed-roof Tanks, Second Edition, October 1991, IBR approved for §63.150(g</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3)(i)(C) of subpart 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API Manual of Petroleum Measurement Specifications (MPMS) Chapter 19.2, Evaporative Loss From Floating-Roof Tanks (formerly API Publications 2517 and 2519), First Edition, April 1997, IBR approved for §63.1251 of subpart GGG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State and Local Requirements. </w:t>
      </w:r>
      <w:r w:rsidRPr="00BA5928">
        <w:rPr>
          <w:rFonts w:ascii="Times New Roman" w:hAnsi="Times New Roman" w:cs="Times New Roman"/>
          <w:sz w:val="20"/>
          <w:szCs w:val="20"/>
        </w:rPr>
        <w:t xml:space="preserve">The following materials listed below are available at the Air and Radiation Docket and Information Center, 1200 Pennsylvania Avenue, </w:t>
      </w:r>
      <w:proofErr w:type="gramStart"/>
      <w:r w:rsidRPr="00BA5928">
        <w:rPr>
          <w:rFonts w:ascii="Times New Roman" w:hAnsi="Times New Roman" w:cs="Times New Roman"/>
          <w:sz w:val="20"/>
          <w:szCs w:val="20"/>
        </w:rPr>
        <w:t>NW.,</w:t>
      </w:r>
      <w:proofErr w:type="gramEnd"/>
      <w:r w:rsidRPr="00BA5928">
        <w:rPr>
          <w:rFonts w:ascii="Times New Roman" w:hAnsi="Times New Roman" w:cs="Times New Roman"/>
          <w:sz w:val="20"/>
          <w:szCs w:val="20"/>
        </w:rPr>
        <w:t xml:space="preserve"> Washington, DC 20460, telephone number (202) 566–1745.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California Regulatory Requirements Applicable to the Air Toxics Program, </w:t>
      </w:r>
      <w:r w:rsidRPr="00BA5928">
        <w:rPr>
          <w:rFonts w:ascii="Times New Roman" w:hAnsi="Times New Roman" w:cs="Times New Roman"/>
          <w:sz w:val="20"/>
          <w:szCs w:val="20"/>
        </w:rPr>
        <w:t>November 16, 2010, IBR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5)(ii)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New Jersey's </w:t>
      </w:r>
      <w:r w:rsidRPr="00BA5928">
        <w:rPr>
          <w:rFonts w:ascii="Times New Roman" w:hAnsi="Times New Roman" w:cs="Times New Roman"/>
          <w:i/>
          <w:iCs/>
          <w:sz w:val="20"/>
          <w:szCs w:val="20"/>
        </w:rPr>
        <w:t xml:space="preserve">Toxic Catastrophe Prevention Act Program, </w:t>
      </w:r>
      <w:r w:rsidRPr="00BA5928">
        <w:rPr>
          <w:rFonts w:ascii="Times New Roman" w:hAnsi="Times New Roman" w:cs="Times New Roman"/>
          <w:sz w:val="20"/>
          <w:szCs w:val="20"/>
        </w:rPr>
        <w:t>(July 20, 1998), Incorporation By Reference approved for §63.99 (a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30)(i)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iii</w:t>
      </w:r>
      <w:proofErr w:type="gramEnd"/>
      <w:r w:rsidRPr="00BA5928">
        <w:rPr>
          <w:rFonts w:ascii="Times New Roman" w:hAnsi="Times New Roman" w:cs="Times New Roman"/>
          <w:sz w:val="20"/>
          <w:szCs w:val="20"/>
        </w:rPr>
        <w:t>) State of Delaware Regulations Governing the Control of Air Pollution (October 2000), IBR approved for §63.99(a)(8)(ii)–(v)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22)(ii)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(5)(i) New Hampshire Regulations Applicable to Hazardous Air Pollutants, March, 2003. Incorporation by Reference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29)(iii)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New Hampshire Regulations Applicable to Hazardous Air Pollutants, September 2006. Incorporation by Reference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29)(iv)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Maine Department of Environmental Protection regulations at Chapter 125, Perchloroethylene Dry Cleaner Regulation, effective as of June 2, 1991, last amended on June 24, 2009. Incorporation By Reference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20)(iii)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California South Coast Air Quality Management District's “Spray Equipment Transfer Efficiency Test Procedure for Equipment User, May 24, 1989,”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California South Coast Air Quality Management District's “Guidelines for Demonstrating Equivalency with District Approved Transfer Efficient Spray Guns, September 26, 2002,” Revision 0,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40)(ii)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materials listed below are available for purchase from the National Institute of Standards and Technology, Springfield, VA 22161, (800) 553–6847.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Handbook 44, Specificiations, Tolerances, and Other Technical Requirements for Weighing and Measuring Devices 1998, IBR approved for §63.1303(e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The following material is available from the National Council of the Paper Industry for Air and Stream Improvement, Inc. (NCASI), P.O. Box 133318, Research Triangle Park, NC 27709–3318 or at </w:t>
      </w:r>
      <w:r w:rsidRPr="00BA5928">
        <w:rPr>
          <w:rFonts w:ascii="Times New Roman" w:hAnsi="Times New Roman" w:cs="Times New Roman"/>
          <w:i/>
          <w:iCs/>
          <w:sz w:val="20"/>
          <w:szCs w:val="20"/>
        </w:rPr>
        <w:t xml:space="preserve">http://www.ncasi.org.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NCASI Method DI/MEOH–94.02, Methanol in Process Liquids GC/FID (Gas Chromatography/Flame Ionization Detection), August 1998, Methods Manual, NCASI, Research Triangle Park, NC, IBR approved for §63.457(c)(3)(ii) of subpart 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(3) NCASI Method IM/CAN/WP–99.02, Impinger/Canister Source Sampling Method for Selected HAPs and Other Compounds at Wood Products Facilities, January 2004,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NCASI Method ISS/FP A105.01, Impinger Source Sampling Method for Selected Aldehydes, Ketones, and Polar Compounds, December 2005,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materials listed below are available for purchase from AOAC International, Customer Services, Suite 400, 2200 Wilson Boulevard, Arlington, Virginia, 22201–3301, Telephone (703) 522–3032, Fax (703) 522–5468.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AOAC Official Method 978.01 Phosphorus (Total) in Fertilizers, Automated Method,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AOAC Official Method 969.02 Phosphorus (Total) in Fertilizers, Alkalimetric Quinolinium Molybdophosphate Method,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AOAC Official Method 962.02 Phosphorus (Total) in Fertilizers, Gravimetric Quinolinium Molybdophosphate Method,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AOAC Official Method 957.02 Phosphorus (Total) in Fertilizers, Preparation of Sample Solution,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AOAC Official Method 929.01 Sampling of Solid Fertilizers,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AOAC Official Method 929.02 Preparation of Fertilizer Sample,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AOAC Official Method 958.01 Phosphorus (Total) in Fertilizers, Spectrophotometric Molybdovanadophosphate Method, Sixteenth edition, 1995, IBR approved for §63.626(d</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The materials listed below are available for purchase from The Association of Florida Phosphate Chemists, P.O. Box 1645, Bartow, Florida, 33830, Book of Methods Used and Adopted </w:t>
      </w:r>
      <w:proofErr w:type="gramStart"/>
      <w:r w:rsidRPr="00BA5928">
        <w:rPr>
          <w:rFonts w:ascii="Times New Roman" w:hAnsi="Times New Roman" w:cs="Times New Roman"/>
          <w:sz w:val="20"/>
          <w:szCs w:val="20"/>
        </w:rPr>
        <w:t>By The</w:t>
      </w:r>
      <w:proofErr w:type="gramEnd"/>
      <w:r w:rsidRPr="00BA5928">
        <w:rPr>
          <w:rFonts w:ascii="Times New Roman" w:hAnsi="Times New Roman" w:cs="Times New Roman"/>
          <w:sz w:val="20"/>
          <w:szCs w:val="20"/>
        </w:rPr>
        <w:t xml:space="preserve"> Association of Florida Phosphate Chemists, Seventh Edition 1991, IBR.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Section IX, Methods of Analysis for Phosphate Rock, No. 1 Preparation of Sample, IBR approved for §63.606(c</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xml:space="preserve">or </w:t>
      </w:r>
      <w:proofErr w:type="gramStart"/>
      <w:r w:rsidRPr="00BA5928">
        <w:rPr>
          <w:rFonts w:ascii="Times New Roman" w:hAnsi="Times New Roman" w:cs="Times New Roman"/>
          <w:sz w:val="20"/>
          <w:szCs w:val="20"/>
        </w:rPr>
        <w:t>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A-Volumetric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xml:space="preserve">or </w:t>
      </w:r>
      <w:proofErr w:type="gramStart"/>
      <w:r w:rsidRPr="00BA5928">
        <w:rPr>
          <w:rFonts w:ascii="Times New Roman" w:hAnsi="Times New Roman" w:cs="Times New Roman"/>
          <w:sz w:val="20"/>
          <w:szCs w:val="20"/>
        </w:rPr>
        <w:t>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B—Gravimetric Quimociac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xml:space="preserve">or </w:t>
      </w:r>
      <w:proofErr w:type="gramStart"/>
      <w:r w:rsidRPr="00BA5928">
        <w:rPr>
          <w:rFonts w:ascii="Times New Roman" w:hAnsi="Times New Roman" w:cs="Times New Roman"/>
          <w:sz w:val="20"/>
          <w:szCs w:val="20"/>
        </w:rPr>
        <w:t>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C—Spectrophotometric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A—Volumetric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B—Gravimetric Quimociac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C—Spectrophotometric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The following material is available for purchase from: British Standards Institute, 389 Chiswick High Road, London W4 4AL, United Kingdom.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BS EN 1593:1999, Non-destructive Testing: Leak Testing—Bubble Emission Techniques, IBR approved for §63.425(i</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Method 0023A, “Sampling Method for Polychlorinated Dibenzo-p-Dioxins and Polychlorinated Dibenzofuran Emissions from Stationary Sources,” dated December 1996, IBR approved for §63.1208(b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of subpart 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Method 9071B, “n-Hexane Extractable Material (HEM) for Sludge, Sediment, and Solid Samples,” dated April 1998, IBR approved for §63.7824(e) of subpart FFFFF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t>
      </w:r>
      <w:proofErr w:type="gramStart"/>
      <w:r w:rsidRPr="00BA5928">
        <w:rPr>
          <w:rFonts w:ascii="Times New Roman" w:hAnsi="Times New Roman" w:cs="Times New Roman"/>
          <w:sz w:val="20"/>
          <w:szCs w:val="20"/>
        </w:rPr>
        <w:t>iii</w:t>
      </w:r>
      <w:proofErr w:type="gramEnd"/>
      <w:r w:rsidRPr="00BA5928">
        <w:rPr>
          <w:rFonts w:ascii="Times New Roman" w:hAnsi="Times New Roman" w:cs="Times New Roman"/>
          <w:sz w:val="20"/>
          <w:szCs w:val="20"/>
        </w:rPr>
        <w:t>) Method 9095A, “Paint Filter Liquids Test,” dated December 1996, IBR approved for §§63.7700(b) and 63.7765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Method 9095B, “Paint Filter Liquids Test,” (revision 2), dated November 2004, IBR approved for the definition of “Free organic liquids” in §63.10692, §63.10885(a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 and the definition of “Free liquids” in §63.10906.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SW–846 Method 74741B, Revision 2, “Mercury in Solid or Semisolid Waste (Manual Cold-Vapor Technique)” February 2007, IBR approved for §63.11647(f</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(2) The following method as published in the National Institute of Occupational Safety and Health (NIOSH) test method compendium, “NIOSH Manual of Analytical Methods”, NIOSH publication no. 94-113, Fourth Edition, August 15,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NIOSH Method 2010, “Amines, Aliphatic,” Issue 2, August 15, 1994, IBR approved for §63.7732(g</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1)(v)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(l) The following materials are available for purchase from the American Society of Heating, Refrigerating, and Air-Conditioning Engineers at 1791 Tullie Circle, NE., </w:t>
      </w:r>
      <w:proofErr w:type="gramStart"/>
      <w:r w:rsidRPr="00BA5928">
        <w:rPr>
          <w:rFonts w:ascii="Times New Roman" w:hAnsi="Times New Roman" w:cs="Times New Roman"/>
          <w:sz w:val="20"/>
          <w:szCs w:val="20"/>
        </w:rPr>
        <w:t>Atlanta</w:t>
      </w:r>
      <w:proofErr w:type="gramEnd"/>
      <w:r w:rsidRPr="00BA5928">
        <w:rPr>
          <w:rFonts w:ascii="Times New Roman" w:hAnsi="Times New Roman" w:cs="Times New Roman"/>
          <w:sz w:val="20"/>
          <w:szCs w:val="20"/>
        </w:rPr>
        <w:t xml:space="preserve">, GA 30329 or by electronic mail at </w:t>
      </w:r>
      <w:r w:rsidRPr="00BA5928">
        <w:rPr>
          <w:rFonts w:ascii="Times New Roman" w:hAnsi="Times New Roman" w:cs="Times New Roman"/>
          <w:i/>
          <w:iCs/>
          <w:sz w:val="20"/>
          <w:szCs w:val="20"/>
        </w:rPr>
        <w:t xml:space="preserve">orders@ashrae.org: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BA5928">
        <w:rPr>
          <w:rFonts w:ascii="Times New Roman" w:hAnsi="Times New Roman" w:cs="Times New Roman"/>
          <w:i/>
          <w:iCs/>
          <w:sz w:val="20"/>
          <w:szCs w:val="20"/>
        </w:rPr>
        <w:t xml:space="preserve">http://www.arb.ca.gov/vapor/vapor.htm.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California Air Resources Board Vapor Recovery Test Procedure TP–201.1.—“Volumetric Efficiency for Phase I Vapor Recovery Systems,” adopted April 12, 1996, and amended February 1, 2001 and October 8, 2003, IBR approved for §63.11120(b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California Air Resources Board Vapor Recovery Test Procedure TP–201.1E—“Leak Rate and Cracking Pressure of Pressure/Vacuum Vent Valves,” adopted October 8, 2003, IBR approved for §63.11120(a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California Air Resources Board Vapor Recovery Test Procedure TP–201.3—“Determination of 2-Inch WC Static Pressure Performance of Vapor Recovery Systems of Dispensing Facilities,” adopted April 12, 1996 and amended March 17, 1999, IBR approved for §63.11120(a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(n) The following material is available from the Texas Commission on Environmental Quality (TCEQ) Library, Post Office Box 13087, Austin, Texas 78711–3087, telephone number (512) 239–0028 or at </w:t>
      </w:r>
      <w:r w:rsidRPr="00BA5928">
        <w:rPr>
          <w:rFonts w:ascii="Times New Roman" w:hAnsi="Times New Roman" w:cs="Times New Roman"/>
          <w:i/>
          <w:iCs/>
          <w:sz w:val="20"/>
          <w:szCs w:val="20"/>
        </w:rPr>
        <w:t>http://www.tceq.state.tx.us/assets/public/implementation/air/sip/sipdocs/2002-12-HGB/02046sipapp_</w:t>
      </w:r>
      <w:proofErr w:type="gramStart"/>
      <w:r w:rsidRPr="00BA5928">
        <w:rPr>
          <w:rFonts w:ascii="Times New Roman" w:hAnsi="Times New Roman" w:cs="Times New Roman"/>
          <w:i/>
          <w:iCs/>
          <w:sz w:val="20"/>
          <w:szCs w:val="20"/>
        </w:rPr>
        <w:t xml:space="preserve">ado.pdf </w:t>
      </w:r>
      <w:r w:rsidRPr="00BA5928">
        <w:rPr>
          <w:rFonts w:ascii="Times New Roman" w:hAnsi="Times New Roman" w:cs="Times New Roman"/>
          <w:sz w:val="20"/>
          <w:szCs w:val="20"/>
        </w:rPr>
        <w:t>:</w:t>
      </w:r>
      <w:proofErr w:type="gramEnd"/>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(o) The following material is available from the Bay Area Air Quality Management District (BAAQMD), 939 Ellis Street, San Francisco, California 94109, and is also available at the following Web site: </w:t>
      </w:r>
      <w:r w:rsidRPr="00BA5928">
        <w:rPr>
          <w:rFonts w:ascii="Times New Roman" w:hAnsi="Times New Roman" w:cs="Times New Roman"/>
          <w:i/>
          <w:iCs/>
          <w:sz w:val="20"/>
          <w:szCs w:val="20"/>
        </w:rPr>
        <w:t xml:space="preserve">http://www.arb.ca.gov/DRDB/BA/CURHTML/ST/st30.pdf.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“BAAQMD Source Test Procedure ST–30—Static Pressure Integrity Test, Underground Storage Tanks,” adopted November 30, 1983, and amended December 21, 1994, IBR approved for §63.11120(a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2)(iii).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 xml:space="preserve">(p) The following material is available from the U.S. Environmental Protection Agency, 1200 Pennsylvania Avenue, </w:t>
      </w:r>
      <w:proofErr w:type="gramStart"/>
      <w:r w:rsidRPr="00BA5928">
        <w:rPr>
          <w:rFonts w:ascii="Times New Roman" w:hAnsi="Times New Roman" w:cs="Times New Roman"/>
          <w:sz w:val="20"/>
          <w:szCs w:val="20"/>
        </w:rPr>
        <w:t>NW.,</w:t>
      </w:r>
      <w:proofErr w:type="gramEnd"/>
      <w:r w:rsidRPr="00BA5928">
        <w:rPr>
          <w:rFonts w:ascii="Times New Roman" w:hAnsi="Times New Roman" w:cs="Times New Roman"/>
          <w:sz w:val="20"/>
          <w:szCs w:val="20"/>
        </w:rPr>
        <w:t xml:space="preserve"> Washington, DC 20460, (202) 272–0167, </w:t>
      </w:r>
      <w:r w:rsidRPr="00BA5928">
        <w:rPr>
          <w:rFonts w:ascii="Times New Roman" w:hAnsi="Times New Roman" w:cs="Times New Roman"/>
          <w:i/>
          <w:iCs/>
          <w:sz w:val="20"/>
          <w:szCs w:val="20"/>
        </w:rPr>
        <w:t xml:space="preserve">http://www.epa.gov.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National Emission Standards for Hazardous Air Pollutants (NESHAP) for Integrated Iron and Steel Plants—Background Information for Proposed Standards, Final Report, EPA–453/R–01–005, January 2001, IBR approved for §63.7491(g).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Office Of Air Quality Planning And Standards (OAQPS), Fabric Filter Bag Leak Detection Guidance, EPA–454/R–98–015, September 1997, IBR approved for §§63.548(e</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4), 63.7525(j)(2), and 63.11224(f)(2).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SW–846–3020A, Acid Digestion of Aqueous Samples </w:t>
      </w:r>
      <w:proofErr w:type="gramStart"/>
      <w:r w:rsidRPr="00BA5928">
        <w:rPr>
          <w:rFonts w:ascii="Times New Roman" w:hAnsi="Times New Roman" w:cs="Times New Roman"/>
          <w:sz w:val="20"/>
          <w:szCs w:val="20"/>
        </w:rPr>
        <w:t>And</w:t>
      </w:r>
      <w:proofErr w:type="gramEnd"/>
      <w:r w:rsidRPr="00BA5928">
        <w:rPr>
          <w:rFonts w:ascii="Times New Roman" w:hAnsi="Times New Roman" w:cs="Times New Roman"/>
          <w:sz w:val="20"/>
          <w:szCs w:val="20"/>
        </w:rPr>
        <w:t xml:space="preserve"> Extracts For Total Metals For Analysis By GFAA Spectroscopy, Revision 1, July 1992, in EPA Publication No. SW–846, Test Methods for Evaluating Solid Waste, Physical/Chemical Methods, Third Edition, </w:t>
      </w:r>
      <w:proofErr w:type="gramStart"/>
      <w:r w:rsidRPr="00BA5928">
        <w:rPr>
          <w:rFonts w:ascii="Times New Roman" w:hAnsi="Times New Roman" w:cs="Times New Roman"/>
          <w:sz w:val="20"/>
          <w:szCs w:val="20"/>
        </w:rPr>
        <w:t>IBR</w:t>
      </w:r>
      <w:proofErr w:type="gramEnd"/>
      <w:r w:rsidRPr="00BA5928">
        <w:rPr>
          <w:rFonts w:ascii="Times New Roman" w:hAnsi="Times New Roman" w:cs="Times New Roman"/>
          <w:sz w:val="20"/>
          <w:szCs w:val="20"/>
        </w:rPr>
        <w:t xml:space="preserve">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SW–846–3050B, Acid Digestion of Sediments, Sludges, </w:t>
      </w:r>
      <w:proofErr w:type="gramStart"/>
      <w:r w:rsidRPr="00BA5928">
        <w:rPr>
          <w:rFonts w:ascii="Times New Roman" w:hAnsi="Times New Roman" w:cs="Times New Roman"/>
          <w:sz w:val="20"/>
          <w:szCs w:val="20"/>
        </w:rPr>
        <w:t>And</w:t>
      </w:r>
      <w:proofErr w:type="gramEnd"/>
      <w:r w:rsidRPr="00BA5928">
        <w:rPr>
          <w:rFonts w:ascii="Times New Roman" w:hAnsi="Times New Roman" w:cs="Times New Roman"/>
          <w:sz w:val="20"/>
          <w:szCs w:val="20"/>
        </w:rPr>
        <w:t xml:space="preserve"> Soils, Revision 2, December 1996, in EPA Publication No. SW–846, Test Methods for Evaluating Solid Waste, Physical/Chemical Methods, Third Edition, </w:t>
      </w:r>
      <w:proofErr w:type="gramStart"/>
      <w:r w:rsidRPr="00BA5928">
        <w:rPr>
          <w:rFonts w:ascii="Times New Roman" w:hAnsi="Times New Roman" w:cs="Times New Roman"/>
          <w:sz w:val="20"/>
          <w:szCs w:val="20"/>
        </w:rPr>
        <w:t>IBR</w:t>
      </w:r>
      <w:proofErr w:type="gramEnd"/>
      <w:r w:rsidRPr="00BA5928">
        <w:rPr>
          <w:rFonts w:ascii="Times New Roman" w:hAnsi="Times New Roman" w:cs="Times New Roman"/>
          <w:sz w:val="20"/>
          <w:szCs w:val="20"/>
        </w:rPr>
        <w:t xml:space="preserve">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SW–846–7470A, Mercury </w:t>
      </w:r>
      <w:proofErr w:type="gramStart"/>
      <w:r w:rsidRPr="00BA5928">
        <w:rPr>
          <w:rFonts w:ascii="Times New Roman" w:hAnsi="Times New Roman" w:cs="Times New Roman"/>
          <w:sz w:val="20"/>
          <w:szCs w:val="20"/>
        </w:rPr>
        <w:t>In</w:t>
      </w:r>
      <w:proofErr w:type="gramEnd"/>
      <w:r w:rsidRPr="00BA5928">
        <w:rPr>
          <w:rFonts w:ascii="Times New Roman" w:hAnsi="Times New Roman" w:cs="Times New Roman"/>
          <w:sz w:val="20"/>
          <w:szCs w:val="20"/>
        </w:rPr>
        <w:t xml:space="preserve"> Liquid Waste (Manual Cold-Vapor Technique), Revision 1, September 1994, in EPA Publication No. SW–846, Test Methods for Evaluating Solid Waste, Physical/Chemical Methods, Third Edition, </w:t>
      </w:r>
      <w:proofErr w:type="gramStart"/>
      <w:r w:rsidRPr="00BA5928">
        <w:rPr>
          <w:rFonts w:ascii="Times New Roman" w:hAnsi="Times New Roman" w:cs="Times New Roman"/>
          <w:sz w:val="20"/>
          <w:szCs w:val="20"/>
        </w:rPr>
        <w:t>IBR</w:t>
      </w:r>
      <w:proofErr w:type="gramEnd"/>
      <w:r w:rsidRPr="00BA5928">
        <w:rPr>
          <w:rFonts w:ascii="Times New Roman" w:hAnsi="Times New Roman" w:cs="Times New Roman"/>
          <w:sz w:val="20"/>
          <w:szCs w:val="20"/>
        </w:rPr>
        <w:t xml:space="preserve">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SW–846–7471B, Mercury </w:t>
      </w:r>
      <w:proofErr w:type="gramStart"/>
      <w:r w:rsidRPr="00BA5928">
        <w:rPr>
          <w:rFonts w:ascii="Times New Roman" w:hAnsi="Times New Roman" w:cs="Times New Roman"/>
          <w:sz w:val="20"/>
          <w:szCs w:val="20"/>
        </w:rPr>
        <w:t>In</w:t>
      </w:r>
      <w:proofErr w:type="gramEnd"/>
      <w:r w:rsidRPr="00BA5928">
        <w:rPr>
          <w:rFonts w:ascii="Times New Roman" w:hAnsi="Times New Roman" w:cs="Times New Roman"/>
          <w:sz w:val="20"/>
          <w:szCs w:val="20"/>
        </w:rPr>
        <w:t xml:space="preserve"> Solid Or Semisolid Waste (Manual Cold-Vapor Technique), Revision 2, February 2007, in EPA Publication No. SW–846, Test Methods for Evaluating Solid Waste, Physical/Chemical Methods, Third Edition, </w:t>
      </w:r>
      <w:proofErr w:type="gramStart"/>
      <w:r w:rsidRPr="00BA5928">
        <w:rPr>
          <w:rFonts w:ascii="Times New Roman" w:hAnsi="Times New Roman" w:cs="Times New Roman"/>
          <w:sz w:val="20"/>
          <w:szCs w:val="20"/>
        </w:rPr>
        <w:t>IBR</w:t>
      </w:r>
      <w:proofErr w:type="gramEnd"/>
      <w:r w:rsidRPr="00BA5928">
        <w:rPr>
          <w:rFonts w:ascii="Times New Roman" w:hAnsi="Times New Roman" w:cs="Times New Roman"/>
          <w:sz w:val="20"/>
          <w:szCs w:val="20"/>
        </w:rPr>
        <w:t xml:space="preserve">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(7) SW–846–9250, Chloride (Colorimetric, Automated Ferricyanide AAI), Revision 0, September 1986, in EPA Publication No. SW–846, Test Methods for Evaluating Solid Waste, Physical/Chemical Methods, Third Edition, </w:t>
      </w:r>
      <w:proofErr w:type="gramStart"/>
      <w:r w:rsidRPr="00BA5928">
        <w:rPr>
          <w:rFonts w:ascii="Times New Roman" w:hAnsi="Times New Roman" w:cs="Times New Roman"/>
          <w:sz w:val="20"/>
          <w:szCs w:val="20"/>
        </w:rPr>
        <w:t>IBR</w:t>
      </w:r>
      <w:proofErr w:type="gramEnd"/>
      <w:r w:rsidRPr="00BA5928">
        <w:rPr>
          <w:rFonts w:ascii="Times New Roman" w:hAnsi="Times New Roman" w:cs="Times New Roman"/>
          <w:sz w:val="20"/>
          <w:szCs w:val="20"/>
        </w:rPr>
        <w:t xml:space="preserve">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(q) The following material is available for purchase from the International Standards Organization (ISO), 1, ch. de la Voie-Creuse, Case postale 56, CH–1211 Geneva 20, Switzerland, +41 22 749 01 11, </w:t>
      </w:r>
      <w:r w:rsidRPr="00BA5928">
        <w:rPr>
          <w:rFonts w:ascii="Times New Roman" w:hAnsi="Times New Roman" w:cs="Times New Roman"/>
          <w:i/>
          <w:iCs/>
          <w:sz w:val="20"/>
          <w:szCs w:val="20"/>
        </w:rPr>
        <w:t xml:space="preserve">http://www.iso.org/iso/home.htm.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ISO 6978–1:2003(E), Natural Gas—Determination of Mercury—Part 1: Sampling of Mercury by Chemisorption on Iodine,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ISO 6978–2:2003(E), Natural gas—Determination of Mercury—Part 2: Sampling of Mercury by Amalgamation on Gold/Platinum Alloy,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Editorial Notes:</w:t>
      </w:r>
      <w:r w:rsidRPr="00BA5928">
        <w:rPr>
          <w:rFonts w:ascii="Times New Roman" w:hAnsi="Times New Roman" w:cs="Times New Roman"/>
          <w:sz w:val="20"/>
          <w:szCs w:val="20"/>
        </w:rPr>
        <w:t xml:space="preserve">   </w:t>
      </w:r>
      <w:proofErr w:type="gramStart"/>
      <w:r w:rsidRPr="00BA5928">
        <w:rPr>
          <w:rFonts w:ascii="Times New Roman" w:hAnsi="Times New Roman" w:cs="Times New Roman"/>
          <w:sz w:val="20"/>
          <w:szCs w:val="20"/>
        </w:rPr>
        <w:t>For  Federal</w:t>
      </w:r>
      <w:proofErr w:type="gramEnd"/>
      <w:r w:rsidRPr="00BA5928">
        <w:rPr>
          <w:rFonts w:ascii="Times New Roman" w:hAnsi="Times New Roman" w:cs="Times New Roman"/>
          <w:sz w:val="20"/>
          <w:szCs w:val="20"/>
        </w:rPr>
        <w:t xml:space="preserve"> Register  citations affecting §63.14, see the List of CFR Sections Affected, which appears in the Finding Aids section of the printed volume and at </w:t>
      </w:r>
      <w:r w:rsidRPr="00BA5928">
        <w:rPr>
          <w:rFonts w:ascii="Times New Roman" w:hAnsi="Times New Roman" w:cs="Times New Roman"/>
          <w:i/>
          <w:iCs/>
          <w:sz w:val="20"/>
          <w:szCs w:val="20"/>
        </w:rPr>
        <w:t xml:space="preserve">www.fdsys.gov </w:t>
      </w:r>
      <w:r w:rsidRPr="00BA5928">
        <w:rPr>
          <w:rFonts w:ascii="Times New Roman" w:hAnsi="Times New Roman" w:cs="Times New Roman"/>
          <w:sz w:val="20"/>
          <w:szCs w:val="20"/>
        </w:rPr>
        <w:t xml:space="preserv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At 76 FR 15589, Mar. 21, 2011, §63.14 was amended by adding paragraph (b</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66), however, the amendment could not be incorporated because a paragraph (b)(66) already existed. For the convenience of the user, the added text is set forth as follows:</w:t>
      </w:r>
    </w:p>
    <w:p w:rsidR="00BA5928" w:rsidRPr="00BA5928" w:rsidRDefault="00BA5928" w:rsidP="00BA5928">
      <w:pPr>
        <w:pStyle w:val="Heading5"/>
        <w:jc w:val="left"/>
        <w:rPr>
          <w:sz w:val="20"/>
        </w:rPr>
      </w:pPr>
      <w:r w:rsidRPr="00BA5928">
        <w:rPr>
          <w:sz w:val="20"/>
        </w:rPr>
        <w:t>63.14   Incorporation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w:t>
      </w:r>
      <w:proofErr w:type="gramStart"/>
      <w:r w:rsidRPr="00BA5928">
        <w:rPr>
          <w:rFonts w:ascii="Times New Roman" w:hAnsi="Times New Roman" w:cs="Times New Roman"/>
          <w:sz w:val="20"/>
          <w:szCs w:val="20"/>
        </w:rPr>
        <w:t>  *</w:t>
      </w:r>
      <w:proofErr w:type="gramEnd"/>
      <w:r w:rsidRPr="00BA5928">
        <w:rPr>
          <w:rFonts w:ascii="Times New Roman" w:hAnsi="Times New Roman" w:cs="Times New Roman"/>
          <w:sz w:val="20"/>
          <w:szCs w:val="20"/>
        </w:rPr>
        <w:t>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lastRenderedPageBreak/>
        <w:t>(66) ASTM D4084–07 Standard Test Method for Analysis of Hydrogen Sulfide in Gaseous Fuels (Lead Acetate Reaction Rate Method), approved June 1, 2007, IBR approved for table 6 to subpart DDDDD of this part.</w:t>
      </w:r>
    </w:p>
    <w:p w:rsidR="00BA5928" w:rsidRPr="00BA5928" w:rsidRDefault="00BA5928" w:rsidP="00BA5928">
      <w:pPr>
        <w:pStyle w:val="Heading5"/>
        <w:jc w:val="left"/>
        <w:rPr>
          <w:sz w:val="20"/>
        </w:rPr>
      </w:pPr>
      <w:r w:rsidRPr="00BA5928">
        <w:rPr>
          <w:sz w:val="20"/>
        </w:rPr>
        <w:t>63.15   Availability of information and confidentiality.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Availability of information. </w:t>
      </w:r>
      <w:r w:rsidRPr="00BA5928">
        <w:rPr>
          <w:rFonts w:ascii="Times New Roman" w:hAnsi="Times New Roman" w:cs="Times New Roman"/>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availability to the public of information provided to or otherwise obtained by the Administrator under this part shall be governed by part 2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Confidentiality. </w:t>
      </w:r>
      <w:r w:rsidRPr="00BA5928">
        <w:rPr>
          <w:rFonts w:ascii="Times New Roman" w:hAnsi="Times New Roman" w:cs="Times New Roman"/>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contents of a title V permit shall not be entitled to protection under section 114(c) of the Act; however, information submitted as part of an application for a title V permit may be entitled to protection from disclosure.</w:t>
      </w:r>
    </w:p>
    <w:p w:rsidR="00BA5928" w:rsidRPr="00BA5928" w:rsidRDefault="00BA5928" w:rsidP="00BA5928">
      <w:pPr>
        <w:pStyle w:val="Heading5"/>
        <w:jc w:val="left"/>
        <w:rPr>
          <w:sz w:val="20"/>
        </w:rPr>
      </w:pPr>
      <w:r w:rsidRPr="00BA5928">
        <w:rPr>
          <w:sz w:val="20"/>
        </w:rPr>
        <w:t>63.16   Performance Track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Reduced its total HAP emissions to less than 25 tons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Reduced its emissions of each individual HAP to less than 10 tons per year;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Reduced emissions of all HAPs covered by each MACT standard to at least the level required for full compliance with the applicable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If the emission standard to which the affected source is subject is based on add-on control technology, and the affected source complies by using pollution prevention, then all required reporting elements in the periodic report may be met through </w:t>
      </w:r>
      <w:r w:rsidRPr="00BA5928">
        <w:rPr>
          <w:rFonts w:ascii="Times New Roman" w:hAnsi="Times New Roman" w:cs="Times New Roman"/>
          <w:sz w:val="20"/>
          <w:szCs w:val="20"/>
        </w:rPr>
        <w:lastRenderedPageBreak/>
        <w:t>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BA5928">
        <w:rPr>
          <w:rFonts w:ascii="Times New Roman" w:hAnsi="Times New Roman" w:cs="Times New Roman"/>
          <w:sz w:val="20"/>
          <w:szCs w:val="20"/>
        </w:rPr>
        <w:t>)(</w:t>
      </w:r>
      <w:proofErr w:type="gramEnd"/>
      <w:r w:rsidRPr="00BA5928">
        <w:rPr>
          <w:rFonts w:ascii="Times New Roman" w:hAnsi="Times New Roman" w:cs="Times New Roman"/>
          <w:sz w:val="20"/>
          <w:szCs w:val="20"/>
        </w:rPr>
        <w:t>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21753, Apr. 22, 2004]</w:t>
      </w:r>
    </w:p>
    <w:p w:rsidR="00BA5928" w:rsidRPr="00BA5928" w:rsidRDefault="00BA5928" w:rsidP="00BA5928">
      <w:pPr>
        <w:pStyle w:val="Heading5"/>
        <w:rPr>
          <w:sz w:val="20"/>
        </w:rPr>
      </w:pPr>
      <w:r w:rsidRPr="00BA5928">
        <w:rPr>
          <w:sz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877"/>
        <w:gridCol w:w="4233"/>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Monitoring frequency per subpart</w:t>
            </w:r>
            <w:r w:rsidRPr="00BA5928">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Detection sensitivity level</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60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85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100</w:t>
            </w:r>
          </w:p>
        </w:tc>
      </w:tr>
    </w:tbl>
    <w:p w:rsidR="00BA5928" w:rsidRPr="00BA5928" w:rsidRDefault="00BA5928" w:rsidP="00BA5928">
      <w:pPr>
        <w:pStyle w:val="gpotblnote"/>
        <w:rPr>
          <w:sz w:val="20"/>
          <w:szCs w:val="20"/>
        </w:rPr>
      </w:pPr>
      <w:proofErr w:type="gramStart"/>
      <w:r w:rsidRPr="00BA5928">
        <w:rPr>
          <w:sz w:val="20"/>
          <w:szCs w:val="20"/>
          <w:vertAlign w:val="superscript"/>
        </w:rPr>
        <w:t>a</w:t>
      </w:r>
      <w:r w:rsidRPr="00BA5928">
        <w:rPr>
          <w:sz w:val="20"/>
          <w:szCs w:val="20"/>
        </w:rPr>
        <w:t>When</w:t>
      </w:r>
      <w:proofErr w:type="gramEnd"/>
      <w:r w:rsidRPr="00BA5928">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BA5928">
        <w:rPr>
          <w:sz w:val="20"/>
          <w:szCs w:val="20"/>
        </w:rPr>
        <w:t>Monthly means once per month.</w:t>
      </w:r>
      <w:proofErr w:type="gramEnd"/>
    </w:p>
    <w:p w:rsidR="00BA5928" w:rsidRDefault="00BA5928" w:rsidP="00BA5928">
      <w:pPr>
        <w:pStyle w:val="NormalWeb"/>
        <w:rPr>
          <w:rFonts w:ascii="Times New Roman" w:hAnsi="Times New Roman" w:cs="Times New Roman"/>
          <w:sz w:val="20"/>
          <w:szCs w:val="20"/>
        </w:rPr>
        <w:sectPr w:rsidR="00BA5928" w:rsidSect="00CF107F">
          <w:headerReference w:type="even" r:id="rId37"/>
          <w:headerReference w:type="default" r:id="rId38"/>
          <w:footerReference w:type="default" r:id="rId39"/>
          <w:headerReference w:type="first" r:id="rId40"/>
          <w:pgSz w:w="12240" w:h="15840" w:code="1"/>
          <w:pgMar w:top="720" w:right="1080" w:bottom="720" w:left="1080" w:header="720" w:footer="720" w:gutter="0"/>
          <w:paperSrc w:first="15" w:other="15"/>
          <w:pgNumType w:start="1"/>
          <w:cols w:space="720"/>
        </w:sectPr>
      </w:pPr>
      <w:r w:rsidRPr="00BA5928">
        <w:rPr>
          <w:rFonts w:ascii="Times New Roman" w:hAnsi="Times New Roman" w:cs="Times New Roman"/>
          <w:sz w:val="20"/>
          <w:szCs w:val="20"/>
        </w:rPr>
        <w:t>[73 FR 78213, Dec. 22, 2008]</w:t>
      </w:r>
    </w:p>
    <w:p w:rsidR="001C642B" w:rsidRPr="00F0171B" w:rsidRDefault="00F0171B" w:rsidP="001C642B">
      <w:pPr>
        <w:pStyle w:val="HTMLPreformatted"/>
        <w:rPr>
          <w:rFonts w:ascii="Times New Roman" w:hAnsi="Times New Roman" w:cs="Times New Roman"/>
        </w:rPr>
      </w:pPr>
      <w:r w:rsidRPr="00F0171B">
        <w:rPr>
          <w:rFonts w:ascii="Times New Roman" w:hAnsi="Times New Roman" w:cs="Times New Roman"/>
        </w:rPr>
        <w:lastRenderedPageBreak/>
        <w:t xml:space="preserve"> </w:t>
      </w:r>
    </w:p>
    <w:p w:rsidR="00F0171B" w:rsidRPr="00001714" w:rsidRDefault="00F0171B" w:rsidP="00F0171B">
      <w:pPr>
        <w:outlineLvl w:val="2"/>
        <w:rPr>
          <w:b/>
          <w:bCs/>
          <w:caps/>
          <w:sz w:val="20"/>
        </w:rPr>
      </w:pPr>
      <w:r w:rsidRPr="00001714">
        <w:rPr>
          <w:b/>
          <w:bCs/>
          <w:caps/>
          <w:sz w:val="20"/>
        </w:rPr>
        <w:t>Electronic Code of Federal Regulations</w:t>
      </w:r>
    </w:p>
    <w:tbl>
      <w:tblPr>
        <w:tblW w:w="4500" w:type="pct"/>
        <w:jc w:val="center"/>
        <w:tblCellSpacing w:w="15" w:type="dxa"/>
        <w:tblCellMar>
          <w:top w:w="15" w:type="dxa"/>
          <w:left w:w="15" w:type="dxa"/>
          <w:bottom w:w="15" w:type="dxa"/>
          <w:right w:w="15" w:type="dxa"/>
        </w:tblCellMar>
        <w:tblLook w:val="04A0"/>
      </w:tblPr>
      <w:tblGrid>
        <w:gridCol w:w="9283"/>
      </w:tblGrid>
      <w:tr w:rsidR="00F0171B" w:rsidRPr="00001714" w:rsidTr="0077684B">
        <w:trPr>
          <w:tblCellSpacing w:w="15" w:type="dxa"/>
          <w:jc w:val="center"/>
        </w:trPr>
        <w:tc>
          <w:tcPr>
            <w:tcW w:w="0" w:type="auto"/>
            <w:hideMark/>
          </w:tcPr>
          <w:p w:rsidR="00F0171B" w:rsidRPr="00001714" w:rsidRDefault="00F0171B" w:rsidP="0077684B">
            <w:pPr>
              <w:spacing w:before="100" w:beforeAutospacing="1" w:after="100" w:afterAutospacing="1"/>
              <w:rPr>
                <w:rFonts w:ascii="Arial" w:hAnsi="Arial" w:cs="Arial"/>
                <w:b/>
                <w:bCs/>
                <w:color w:val="FF0000"/>
                <w:sz w:val="20"/>
              </w:rPr>
            </w:pPr>
            <w:r w:rsidRPr="00001714">
              <w:rPr>
                <w:rFonts w:ascii="Arial" w:hAnsi="Arial" w:cs="Arial"/>
                <w:b/>
                <w:bCs/>
                <w:color w:val="FF0000"/>
                <w:sz w:val="20"/>
              </w:rPr>
              <w:t>e-CFR Data is current as of December 12, 2013</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Title 40: Protection of Environment</w:t>
      </w:r>
      <w:r w:rsidRPr="00001714">
        <w:rPr>
          <w:rFonts w:ascii="Arial" w:hAnsi="Arial" w:cs="Arial"/>
          <w:sz w:val="20"/>
        </w:rPr>
        <w:br/>
      </w:r>
      <w:hyperlink r:id="rId41" w:history="1">
        <w:r w:rsidRPr="00001714">
          <w:rPr>
            <w:rFonts w:ascii="Arial" w:hAnsi="Arial" w:cs="Arial"/>
            <w:color w:val="0000FF"/>
            <w:sz w:val="20"/>
          </w:rPr>
          <w:t>PART 63—NATIONAL EMISSION STANDARDS FOR HAZARDOUS AIR POLLUTANTS FOR SOURCE CATEGORIES (CONTINUED)</w:t>
        </w:r>
      </w:hyperlink>
    </w:p>
    <w:p w:rsidR="00F0171B" w:rsidRPr="00001714" w:rsidRDefault="0036167B" w:rsidP="00F0171B">
      <w:pPr>
        <w:rPr>
          <w:rFonts w:ascii="Arial" w:hAnsi="Arial" w:cs="Arial"/>
          <w:sz w:val="20"/>
        </w:rPr>
      </w:pPr>
      <w:r w:rsidRPr="0036167B">
        <w:rPr>
          <w:rFonts w:ascii="Arial" w:hAnsi="Arial" w:cs="Arial"/>
          <w:sz w:val="20"/>
        </w:rPr>
        <w:pict>
          <v:rect id="_x0000_i1025" style="width:0;height:1.5pt" o:hrstd="t" o:hr="t" fillcolor="#a0a0a0" stroked="f"/>
        </w:pict>
      </w:r>
    </w:p>
    <w:p w:rsidR="00F0171B" w:rsidRPr="00001714" w:rsidRDefault="00F0171B" w:rsidP="00F0171B">
      <w:pPr>
        <w:spacing w:before="200" w:after="100"/>
        <w:outlineLvl w:val="1"/>
        <w:rPr>
          <w:rFonts w:ascii="Arial" w:hAnsi="Arial" w:cs="Arial"/>
          <w:b/>
          <w:bCs/>
          <w:sz w:val="20"/>
        </w:rPr>
      </w:pPr>
      <w:bookmarkStart w:id="1" w:name="_top"/>
      <w:bookmarkEnd w:id="1"/>
      <w:r w:rsidRPr="00001714">
        <w:rPr>
          <w:rFonts w:ascii="Arial" w:hAnsi="Arial" w:cs="Arial"/>
          <w:b/>
          <w:bCs/>
          <w:sz w:val="20"/>
        </w:rPr>
        <w:t>Subpart DDDDD—National Emission Standards for Hazardous Air Pollutants for Major Sources: Industrial, Commercial, and Institutional Boilers and Process Heaters</w:t>
      </w:r>
    </w:p>
    <w:p w:rsidR="00F0171B" w:rsidRPr="00001714" w:rsidRDefault="0036167B" w:rsidP="00F0171B">
      <w:pPr>
        <w:rPr>
          <w:rFonts w:ascii="Arial" w:hAnsi="Arial" w:cs="Arial"/>
          <w:sz w:val="20"/>
        </w:rPr>
      </w:pPr>
      <w:r w:rsidRPr="0036167B">
        <w:rPr>
          <w:rFonts w:ascii="Arial" w:hAnsi="Arial" w:cs="Arial"/>
          <w:sz w:val="20"/>
        </w:rPr>
        <w:pict>
          <v:rect id="_x0000_i1026" style="width:0;height:1.5pt" o:hrstd="t" o:hr="t" fillcolor="#a0a0a0" stroked="f"/>
        </w:pict>
      </w:r>
    </w:p>
    <w:p w:rsidR="00F0171B" w:rsidRPr="00001714" w:rsidRDefault="00F0171B" w:rsidP="00F0171B">
      <w:pPr>
        <w:rPr>
          <w:rFonts w:ascii="Arial" w:hAnsi="Arial" w:cs="Arial"/>
          <w:sz w:val="20"/>
        </w:rPr>
      </w:pPr>
      <w:r w:rsidRPr="00001714">
        <w:rPr>
          <w:rFonts w:ascii="Arial" w:hAnsi="Arial" w:cs="Arial"/>
          <w:b/>
          <w:bCs/>
          <w:sz w:val="20"/>
        </w:rPr>
        <w:t>Contents</w:t>
      </w:r>
    </w:p>
    <w:p w:rsidR="00F0171B" w:rsidRPr="00001714" w:rsidRDefault="0036167B" w:rsidP="00F0171B">
      <w:pPr>
        <w:spacing w:after="100" w:afterAutospacing="1"/>
        <w:rPr>
          <w:rFonts w:ascii="Arial" w:hAnsi="Arial" w:cs="Arial"/>
          <w:smallCaps/>
          <w:sz w:val="20"/>
        </w:rPr>
      </w:pPr>
      <w:hyperlink r:id="rId42" w:anchor="40:14.0.1.1.1.5.137" w:history="1">
        <w:r w:rsidR="00F0171B" w:rsidRPr="00001714">
          <w:rPr>
            <w:rFonts w:ascii="Arial" w:hAnsi="Arial" w:cs="Arial"/>
            <w:smallCaps/>
            <w:color w:val="0000FF"/>
            <w:sz w:val="20"/>
          </w:rPr>
          <w:t>What This Subpart Covers</w:t>
        </w:r>
      </w:hyperlink>
    </w:p>
    <w:p w:rsidR="00F0171B" w:rsidRPr="00001714" w:rsidRDefault="0036167B" w:rsidP="00F0171B">
      <w:pPr>
        <w:rPr>
          <w:rFonts w:ascii="Arial" w:hAnsi="Arial" w:cs="Arial"/>
          <w:sz w:val="20"/>
        </w:rPr>
      </w:pPr>
      <w:hyperlink r:id="rId43" w:anchor="40:14.0.1.1.1.5.137.1" w:history="1">
        <w:r w:rsidR="00F0171B" w:rsidRPr="00001714">
          <w:rPr>
            <w:rFonts w:ascii="Arial" w:hAnsi="Arial" w:cs="Arial"/>
            <w:color w:val="0000FF"/>
            <w:sz w:val="20"/>
          </w:rPr>
          <w:t xml:space="preserve">§63.7480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is the purpose of this subpart?</w:t>
        </w:r>
      </w:hyperlink>
      <w:r w:rsidR="00F0171B" w:rsidRPr="00001714">
        <w:rPr>
          <w:rFonts w:ascii="Arial" w:hAnsi="Arial" w:cs="Arial"/>
          <w:sz w:val="20"/>
        </w:rPr>
        <w:br/>
      </w:r>
      <w:hyperlink r:id="rId44" w:anchor="40:14.0.1.1.1.5.137.2" w:history="1">
        <w:r w:rsidR="00F0171B" w:rsidRPr="00001714">
          <w:rPr>
            <w:rFonts w:ascii="Arial" w:hAnsi="Arial" w:cs="Arial"/>
            <w:color w:val="0000FF"/>
            <w:sz w:val="20"/>
          </w:rPr>
          <w:t>§63.7485 Am I subject to this subpart?</w:t>
        </w:r>
      </w:hyperlink>
      <w:r w:rsidR="00F0171B" w:rsidRPr="00001714">
        <w:rPr>
          <w:rFonts w:ascii="Arial" w:hAnsi="Arial" w:cs="Arial"/>
          <w:sz w:val="20"/>
        </w:rPr>
        <w:br/>
      </w:r>
      <w:hyperlink r:id="rId45" w:anchor="40:14.0.1.1.1.5.137.3" w:history="1">
        <w:r w:rsidR="00F0171B" w:rsidRPr="00001714">
          <w:rPr>
            <w:rFonts w:ascii="Arial" w:hAnsi="Arial" w:cs="Arial"/>
            <w:color w:val="0000FF"/>
            <w:sz w:val="20"/>
          </w:rPr>
          <w:t xml:space="preserve">§63.7490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is the affected source of this subpart?</w:t>
        </w:r>
      </w:hyperlink>
      <w:r w:rsidR="00F0171B" w:rsidRPr="00001714">
        <w:rPr>
          <w:rFonts w:ascii="Arial" w:hAnsi="Arial" w:cs="Arial"/>
          <w:sz w:val="20"/>
        </w:rPr>
        <w:br/>
      </w:r>
      <w:hyperlink r:id="rId46" w:anchor="40:14.0.1.1.1.5.137.4" w:history="1">
        <w:r w:rsidR="00F0171B" w:rsidRPr="00001714">
          <w:rPr>
            <w:rFonts w:ascii="Arial" w:hAnsi="Arial" w:cs="Arial"/>
            <w:color w:val="0000FF"/>
            <w:sz w:val="20"/>
          </w:rPr>
          <w:t xml:space="preserve">§63.7491 </w:t>
        </w:r>
        <w:proofErr w:type="gramStart"/>
        <w:r w:rsidR="00F0171B" w:rsidRPr="00001714">
          <w:rPr>
            <w:rFonts w:ascii="Arial" w:hAnsi="Arial" w:cs="Arial"/>
            <w:color w:val="0000FF"/>
            <w:sz w:val="20"/>
          </w:rPr>
          <w:t>Are</w:t>
        </w:r>
        <w:proofErr w:type="gramEnd"/>
        <w:r w:rsidR="00F0171B" w:rsidRPr="00001714">
          <w:rPr>
            <w:rFonts w:ascii="Arial" w:hAnsi="Arial" w:cs="Arial"/>
            <w:color w:val="0000FF"/>
            <w:sz w:val="20"/>
          </w:rPr>
          <w:t xml:space="preserve"> any boilers or process heaters not subject to this subpart?</w:t>
        </w:r>
      </w:hyperlink>
      <w:r w:rsidR="00F0171B" w:rsidRPr="00001714">
        <w:rPr>
          <w:rFonts w:ascii="Arial" w:hAnsi="Arial" w:cs="Arial"/>
          <w:sz w:val="20"/>
        </w:rPr>
        <w:br/>
      </w:r>
      <w:hyperlink r:id="rId47" w:anchor="40:14.0.1.1.1.5.137.5" w:history="1">
        <w:r w:rsidR="00F0171B" w:rsidRPr="00001714">
          <w:rPr>
            <w:rFonts w:ascii="Arial" w:hAnsi="Arial" w:cs="Arial"/>
            <w:color w:val="0000FF"/>
            <w:sz w:val="20"/>
          </w:rPr>
          <w:t>§63.7495 When do I have to comply with this subpart?</w:t>
        </w:r>
      </w:hyperlink>
    </w:p>
    <w:p w:rsidR="00F0171B" w:rsidRPr="00001714" w:rsidRDefault="0036167B" w:rsidP="00F0171B">
      <w:pPr>
        <w:spacing w:after="100" w:afterAutospacing="1"/>
        <w:rPr>
          <w:rFonts w:ascii="Arial" w:hAnsi="Arial" w:cs="Arial"/>
          <w:smallCaps/>
          <w:sz w:val="20"/>
        </w:rPr>
      </w:pPr>
      <w:hyperlink r:id="rId48" w:anchor="40:14.0.1.1.1.5.138" w:history="1">
        <w:r w:rsidR="00F0171B" w:rsidRPr="00001714">
          <w:rPr>
            <w:rFonts w:ascii="Arial" w:hAnsi="Arial" w:cs="Arial"/>
            <w:smallCaps/>
            <w:color w:val="0000FF"/>
            <w:sz w:val="20"/>
          </w:rPr>
          <w:t>Emission Limitations and Work Practice Standards</w:t>
        </w:r>
      </w:hyperlink>
    </w:p>
    <w:p w:rsidR="00F0171B" w:rsidRPr="00001714" w:rsidRDefault="0036167B" w:rsidP="00F0171B">
      <w:pPr>
        <w:rPr>
          <w:rFonts w:ascii="Arial" w:hAnsi="Arial" w:cs="Arial"/>
          <w:sz w:val="20"/>
        </w:rPr>
      </w:pPr>
      <w:hyperlink r:id="rId49" w:anchor="40:14.0.1.1.1.5.138.6" w:history="1">
        <w:r w:rsidR="00F0171B" w:rsidRPr="00001714">
          <w:rPr>
            <w:rFonts w:ascii="Arial" w:hAnsi="Arial" w:cs="Arial"/>
            <w:color w:val="0000FF"/>
            <w:sz w:val="20"/>
          </w:rPr>
          <w:t xml:space="preserve">§63.7499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are the subcategories of boilers and process heaters?</w:t>
        </w:r>
      </w:hyperlink>
      <w:r w:rsidR="00F0171B" w:rsidRPr="00001714">
        <w:rPr>
          <w:rFonts w:ascii="Arial" w:hAnsi="Arial" w:cs="Arial"/>
          <w:sz w:val="20"/>
        </w:rPr>
        <w:br/>
      </w:r>
      <w:hyperlink r:id="rId50" w:anchor="40:14.0.1.1.1.5.138.7" w:history="1">
        <w:r w:rsidR="00F0171B" w:rsidRPr="00001714">
          <w:rPr>
            <w:rFonts w:ascii="Arial" w:hAnsi="Arial" w:cs="Arial"/>
            <w:color w:val="0000FF"/>
            <w:sz w:val="20"/>
          </w:rPr>
          <w:t xml:space="preserve">§63.7500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emission limitations, work practice standards, and operating limits must I meet?</w:t>
        </w:r>
      </w:hyperlink>
      <w:r w:rsidR="00F0171B" w:rsidRPr="00001714">
        <w:rPr>
          <w:rFonts w:ascii="Arial" w:hAnsi="Arial" w:cs="Arial"/>
          <w:sz w:val="20"/>
        </w:rPr>
        <w:br/>
      </w:r>
      <w:hyperlink r:id="rId51" w:anchor="40:14.0.1.1.1.5.138.8" w:history="1">
        <w:r w:rsidR="00F0171B" w:rsidRPr="00001714">
          <w:rPr>
            <w:rFonts w:ascii="Arial" w:hAnsi="Arial" w:cs="Arial"/>
            <w:color w:val="0000FF"/>
            <w:sz w:val="20"/>
          </w:rPr>
          <w:t xml:space="preserve">§63.7501 Affirmative Defense for Violation of Emission Standards </w:t>
        </w:r>
        <w:proofErr w:type="gramStart"/>
        <w:r w:rsidR="00F0171B" w:rsidRPr="00001714">
          <w:rPr>
            <w:rFonts w:ascii="Arial" w:hAnsi="Arial" w:cs="Arial"/>
            <w:color w:val="0000FF"/>
            <w:sz w:val="20"/>
          </w:rPr>
          <w:t>During</w:t>
        </w:r>
        <w:proofErr w:type="gramEnd"/>
        <w:r w:rsidR="00F0171B" w:rsidRPr="00001714">
          <w:rPr>
            <w:rFonts w:ascii="Arial" w:hAnsi="Arial" w:cs="Arial"/>
            <w:color w:val="0000FF"/>
            <w:sz w:val="20"/>
          </w:rPr>
          <w:t xml:space="preserve"> Malfunction.</w:t>
        </w:r>
      </w:hyperlink>
    </w:p>
    <w:p w:rsidR="00F0171B" w:rsidRPr="00001714" w:rsidRDefault="0036167B" w:rsidP="00F0171B">
      <w:pPr>
        <w:spacing w:after="100" w:afterAutospacing="1"/>
        <w:rPr>
          <w:rFonts w:ascii="Arial" w:hAnsi="Arial" w:cs="Arial"/>
          <w:smallCaps/>
          <w:sz w:val="20"/>
        </w:rPr>
      </w:pPr>
      <w:hyperlink r:id="rId52" w:anchor="40:14.0.1.1.1.5.139" w:history="1">
        <w:r w:rsidR="00F0171B" w:rsidRPr="00001714">
          <w:rPr>
            <w:rFonts w:ascii="Arial" w:hAnsi="Arial" w:cs="Arial"/>
            <w:smallCaps/>
            <w:color w:val="0000FF"/>
            <w:sz w:val="20"/>
          </w:rPr>
          <w:t>General Compliance Requirements</w:t>
        </w:r>
      </w:hyperlink>
    </w:p>
    <w:p w:rsidR="00F0171B" w:rsidRPr="00001714" w:rsidRDefault="0036167B" w:rsidP="00F0171B">
      <w:pPr>
        <w:rPr>
          <w:rFonts w:ascii="Arial" w:hAnsi="Arial" w:cs="Arial"/>
          <w:sz w:val="20"/>
        </w:rPr>
      </w:pPr>
      <w:hyperlink r:id="rId53" w:anchor="40:14.0.1.1.1.5.139.9" w:history="1">
        <w:r w:rsidR="00F0171B" w:rsidRPr="00001714">
          <w:rPr>
            <w:rFonts w:ascii="Arial" w:hAnsi="Arial" w:cs="Arial"/>
            <w:color w:val="0000FF"/>
            <w:sz w:val="20"/>
          </w:rPr>
          <w:t xml:space="preserve">§63.7505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are my general requirements for complying with this subpart?</w:t>
        </w:r>
      </w:hyperlink>
    </w:p>
    <w:p w:rsidR="00F0171B" w:rsidRPr="00001714" w:rsidRDefault="0036167B" w:rsidP="00F0171B">
      <w:pPr>
        <w:spacing w:after="100" w:afterAutospacing="1"/>
        <w:rPr>
          <w:rFonts w:ascii="Arial" w:hAnsi="Arial" w:cs="Arial"/>
          <w:smallCaps/>
          <w:sz w:val="20"/>
        </w:rPr>
      </w:pPr>
      <w:hyperlink r:id="rId54" w:anchor="40:14.0.1.1.1.5.140" w:history="1">
        <w:r w:rsidR="00F0171B" w:rsidRPr="00001714">
          <w:rPr>
            <w:rFonts w:ascii="Arial" w:hAnsi="Arial" w:cs="Arial"/>
            <w:smallCaps/>
            <w:color w:val="0000FF"/>
            <w:sz w:val="20"/>
          </w:rPr>
          <w:t>Testing, Fuel Analyses, and Initial Compliance Requirements</w:t>
        </w:r>
      </w:hyperlink>
    </w:p>
    <w:p w:rsidR="00F0171B" w:rsidRPr="00001714" w:rsidRDefault="0036167B" w:rsidP="00F0171B">
      <w:pPr>
        <w:rPr>
          <w:rFonts w:ascii="Arial" w:hAnsi="Arial" w:cs="Arial"/>
          <w:sz w:val="20"/>
        </w:rPr>
      </w:pPr>
      <w:hyperlink r:id="rId55" w:anchor="40:14.0.1.1.1.5.140.10" w:history="1">
        <w:r w:rsidR="00F0171B" w:rsidRPr="00001714">
          <w:rPr>
            <w:rFonts w:ascii="Arial" w:hAnsi="Arial" w:cs="Arial"/>
            <w:color w:val="0000FF"/>
            <w:sz w:val="20"/>
          </w:rPr>
          <w:t xml:space="preserve">§63.7510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are my initial compliance requirements and by what date must I conduct them?</w:t>
        </w:r>
      </w:hyperlink>
      <w:r w:rsidR="00F0171B" w:rsidRPr="00001714">
        <w:rPr>
          <w:rFonts w:ascii="Arial" w:hAnsi="Arial" w:cs="Arial"/>
          <w:sz w:val="20"/>
        </w:rPr>
        <w:br/>
      </w:r>
      <w:hyperlink r:id="rId56" w:anchor="40:14.0.1.1.1.5.140.11" w:history="1">
        <w:r w:rsidR="00F0171B" w:rsidRPr="00001714">
          <w:rPr>
            <w:rFonts w:ascii="Arial" w:hAnsi="Arial" w:cs="Arial"/>
            <w:color w:val="0000FF"/>
            <w:sz w:val="20"/>
          </w:rPr>
          <w:t xml:space="preserve">§63.7515 </w:t>
        </w:r>
        <w:proofErr w:type="gramStart"/>
        <w:r w:rsidR="00F0171B" w:rsidRPr="00001714">
          <w:rPr>
            <w:rFonts w:ascii="Arial" w:hAnsi="Arial" w:cs="Arial"/>
            <w:color w:val="0000FF"/>
            <w:sz w:val="20"/>
          </w:rPr>
          <w:t>When</w:t>
        </w:r>
        <w:proofErr w:type="gramEnd"/>
        <w:r w:rsidR="00F0171B" w:rsidRPr="00001714">
          <w:rPr>
            <w:rFonts w:ascii="Arial" w:hAnsi="Arial" w:cs="Arial"/>
            <w:color w:val="0000FF"/>
            <w:sz w:val="20"/>
          </w:rPr>
          <w:t xml:space="preserve"> must I conduct subsequent performance tests, fuel analyses, or tune-ups?</w:t>
        </w:r>
      </w:hyperlink>
      <w:r w:rsidR="00F0171B" w:rsidRPr="00001714">
        <w:rPr>
          <w:rFonts w:ascii="Arial" w:hAnsi="Arial" w:cs="Arial"/>
          <w:sz w:val="20"/>
        </w:rPr>
        <w:br/>
      </w:r>
      <w:hyperlink r:id="rId57" w:anchor="40:14.0.1.1.1.5.140.12" w:history="1">
        <w:r w:rsidR="00F0171B" w:rsidRPr="00001714">
          <w:rPr>
            <w:rFonts w:ascii="Arial" w:hAnsi="Arial" w:cs="Arial"/>
            <w:color w:val="0000FF"/>
            <w:sz w:val="20"/>
          </w:rPr>
          <w:t xml:space="preserve">§63.7520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stack tests and procedures must I use?</w:t>
        </w:r>
      </w:hyperlink>
      <w:r w:rsidR="00F0171B" w:rsidRPr="00001714">
        <w:rPr>
          <w:rFonts w:ascii="Arial" w:hAnsi="Arial" w:cs="Arial"/>
          <w:sz w:val="20"/>
        </w:rPr>
        <w:br/>
      </w:r>
      <w:hyperlink r:id="rId58" w:anchor="40:14.0.1.1.1.5.140.13" w:history="1">
        <w:r w:rsidR="00F0171B" w:rsidRPr="00001714">
          <w:rPr>
            <w:rFonts w:ascii="Arial" w:hAnsi="Arial" w:cs="Arial"/>
            <w:color w:val="0000FF"/>
            <w:sz w:val="20"/>
          </w:rPr>
          <w:t xml:space="preserve">§63.7521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fuel analyses, fuel specification, and procedures must I use?</w:t>
        </w:r>
      </w:hyperlink>
      <w:r w:rsidR="00F0171B" w:rsidRPr="00001714">
        <w:rPr>
          <w:rFonts w:ascii="Arial" w:hAnsi="Arial" w:cs="Arial"/>
          <w:sz w:val="20"/>
        </w:rPr>
        <w:br/>
      </w:r>
      <w:hyperlink r:id="rId59" w:anchor="40:14.0.1.1.1.5.140.14" w:history="1">
        <w:r w:rsidR="00F0171B" w:rsidRPr="00001714">
          <w:rPr>
            <w:rFonts w:ascii="Arial" w:hAnsi="Arial" w:cs="Arial"/>
            <w:color w:val="0000FF"/>
            <w:sz w:val="20"/>
          </w:rPr>
          <w:t>§63.7522 Can I use emissions averaging to comply with this subpart?</w:t>
        </w:r>
      </w:hyperlink>
      <w:r w:rsidR="00F0171B" w:rsidRPr="00001714">
        <w:rPr>
          <w:rFonts w:ascii="Arial" w:hAnsi="Arial" w:cs="Arial"/>
          <w:sz w:val="20"/>
        </w:rPr>
        <w:br/>
      </w:r>
      <w:hyperlink r:id="rId60" w:anchor="40:14.0.1.1.1.5.140.15" w:history="1">
        <w:r w:rsidR="00F0171B" w:rsidRPr="00001714">
          <w:rPr>
            <w:rFonts w:ascii="Arial" w:hAnsi="Arial" w:cs="Arial"/>
            <w:color w:val="0000FF"/>
            <w:sz w:val="20"/>
          </w:rPr>
          <w:t xml:space="preserve">§63.7525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are my monitoring, installation, operation, and maintenance requirements?</w:t>
        </w:r>
      </w:hyperlink>
      <w:r w:rsidR="00F0171B" w:rsidRPr="00001714">
        <w:rPr>
          <w:rFonts w:ascii="Arial" w:hAnsi="Arial" w:cs="Arial"/>
          <w:sz w:val="20"/>
        </w:rPr>
        <w:br/>
      </w:r>
      <w:hyperlink r:id="rId61" w:anchor="40:14.0.1.1.1.5.140.16" w:history="1">
        <w:r w:rsidR="00F0171B" w:rsidRPr="00001714">
          <w:rPr>
            <w:rFonts w:ascii="Arial" w:hAnsi="Arial" w:cs="Arial"/>
            <w:color w:val="0000FF"/>
            <w:sz w:val="20"/>
          </w:rPr>
          <w:t xml:space="preserve">§63.7530 </w:t>
        </w:r>
        <w:proofErr w:type="gramStart"/>
        <w:r w:rsidR="00F0171B" w:rsidRPr="00001714">
          <w:rPr>
            <w:rFonts w:ascii="Arial" w:hAnsi="Arial" w:cs="Arial"/>
            <w:color w:val="0000FF"/>
            <w:sz w:val="20"/>
          </w:rPr>
          <w:t>How</w:t>
        </w:r>
        <w:proofErr w:type="gramEnd"/>
        <w:r w:rsidR="00F0171B" w:rsidRPr="00001714">
          <w:rPr>
            <w:rFonts w:ascii="Arial" w:hAnsi="Arial" w:cs="Arial"/>
            <w:color w:val="0000FF"/>
            <w:sz w:val="20"/>
          </w:rPr>
          <w:t xml:space="preserve"> do I demonstrate initial compliance with the emission limitations, fuel specifications and work practice standards?</w:t>
        </w:r>
      </w:hyperlink>
      <w:r w:rsidR="00F0171B" w:rsidRPr="00001714">
        <w:rPr>
          <w:rFonts w:ascii="Arial" w:hAnsi="Arial" w:cs="Arial"/>
          <w:sz w:val="20"/>
        </w:rPr>
        <w:br/>
      </w:r>
      <w:hyperlink r:id="rId62" w:anchor="40:14.0.1.1.1.5.140.17" w:history="1">
        <w:r w:rsidR="00F0171B" w:rsidRPr="00001714">
          <w:rPr>
            <w:rFonts w:ascii="Arial" w:hAnsi="Arial" w:cs="Arial"/>
            <w:color w:val="0000FF"/>
            <w:sz w:val="20"/>
          </w:rPr>
          <w:t>§63.7533 Can I use efficiency credits earned from implementation of energy conservation measures to comply with this subpart?</w:t>
        </w:r>
      </w:hyperlink>
    </w:p>
    <w:p w:rsidR="00F0171B" w:rsidRPr="00001714" w:rsidRDefault="0036167B" w:rsidP="00F0171B">
      <w:pPr>
        <w:spacing w:after="100" w:afterAutospacing="1"/>
        <w:rPr>
          <w:rFonts w:ascii="Arial" w:hAnsi="Arial" w:cs="Arial"/>
          <w:smallCaps/>
          <w:sz w:val="20"/>
        </w:rPr>
      </w:pPr>
      <w:hyperlink r:id="rId63" w:anchor="40:14.0.1.1.1.5.141" w:history="1">
        <w:r w:rsidR="00F0171B" w:rsidRPr="00001714">
          <w:rPr>
            <w:rFonts w:ascii="Arial" w:hAnsi="Arial" w:cs="Arial"/>
            <w:smallCaps/>
            <w:color w:val="0000FF"/>
            <w:sz w:val="20"/>
          </w:rPr>
          <w:t>Continuous Compliance Requirements</w:t>
        </w:r>
      </w:hyperlink>
    </w:p>
    <w:p w:rsidR="00F0171B" w:rsidRPr="00001714" w:rsidRDefault="0036167B" w:rsidP="00F0171B">
      <w:pPr>
        <w:rPr>
          <w:rFonts w:ascii="Arial" w:hAnsi="Arial" w:cs="Arial"/>
          <w:sz w:val="20"/>
        </w:rPr>
      </w:pPr>
      <w:hyperlink r:id="rId64" w:anchor="40:14.0.1.1.1.5.141.18" w:history="1">
        <w:r w:rsidR="00F0171B" w:rsidRPr="00001714">
          <w:rPr>
            <w:rFonts w:ascii="Arial" w:hAnsi="Arial" w:cs="Arial"/>
            <w:color w:val="0000FF"/>
            <w:sz w:val="20"/>
          </w:rPr>
          <w:t>§63.7535 Is there a minimum amount of monitoring data I must obtain?</w:t>
        </w:r>
      </w:hyperlink>
      <w:r w:rsidR="00F0171B" w:rsidRPr="00001714">
        <w:rPr>
          <w:rFonts w:ascii="Arial" w:hAnsi="Arial" w:cs="Arial"/>
          <w:sz w:val="20"/>
        </w:rPr>
        <w:br/>
      </w:r>
      <w:hyperlink r:id="rId65" w:anchor="40:14.0.1.1.1.5.141.19" w:history="1">
        <w:r w:rsidR="00F0171B" w:rsidRPr="00001714">
          <w:rPr>
            <w:rFonts w:ascii="Arial" w:hAnsi="Arial" w:cs="Arial"/>
            <w:color w:val="0000FF"/>
            <w:sz w:val="20"/>
          </w:rPr>
          <w:t xml:space="preserve">§63.7540 </w:t>
        </w:r>
        <w:proofErr w:type="gramStart"/>
        <w:r w:rsidR="00F0171B" w:rsidRPr="00001714">
          <w:rPr>
            <w:rFonts w:ascii="Arial" w:hAnsi="Arial" w:cs="Arial"/>
            <w:color w:val="0000FF"/>
            <w:sz w:val="20"/>
          </w:rPr>
          <w:t>How</w:t>
        </w:r>
        <w:proofErr w:type="gramEnd"/>
        <w:r w:rsidR="00F0171B" w:rsidRPr="00001714">
          <w:rPr>
            <w:rFonts w:ascii="Arial" w:hAnsi="Arial" w:cs="Arial"/>
            <w:color w:val="0000FF"/>
            <w:sz w:val="20"/>
          </w:rPr>
          <w:t xml:space="preserve"> do I demonstrate continuous compliance with the emission limitations, fuel specifications and work practice standards?</w:t>
        </w:r>
      </w:hyperlink>
      <w:r w:rsidR="00F0171B" w:rsidRPr="00001714">
        <w:rPr>
          <w:rFonts w:ascii="Arial" w:hAnsi="Arial" w:cs="Arial"/>
          <w:sz w:val="20"/>
        </w:rPr>
        <w:br/>
      </w:r>
      <w:hyperlink r:id="rId66" w:anchor="40:14.0.1.1.1.5.141.20" w:history="1">
        <w:r w:rsidR="00F0171B" w:rsidRPr="00001714">
          <w:rPr>
            <w:rFonts w:ascii="Arial" w:hAnsi="Arial" w:cs="Arial"/>
            <w:color w:val="0000FF"/>
            <w:sz w:val="20"/>
          </w:rPr>
          <w:t xml:space="preserve">§63.7541 </w:t>
        </w:r>
        <w:proofErr w:type="gramStart"/>
        <w:r w:rsidR="00F0171B" w:rsidRPr="00001714">
          <w:rPr>
            <w:rFonts w:ascii="Arial" w:hAnsi="Arial" w:cs="Arial"/>
            <w:color w:val="0000FF"/>
            <w:sz w:val="20"/>
          </w:rPr>
          <w:t>How</w:t>
        </w:r>
        <w:proofErr w:type="gramEnd"/>
        <w:r w:rsidR="00F0171B" w:rsidRPr="00001714">
          <w:rPr>
            <w:rFonts w:ascii="Arial" w:hAnsi="Arial" w:cs="Arial"/>
            <w:color w:val="0000FF"/>
            <w:sz w:val="20"/>
          </w:rPr>
          <w:t xml:space="preserve"> do I demonstrate continuous compliance under the emissions averaging provision?</w:t>
        </w:r>
      </w:hyperlink>
    </w:p>
    <w:p w:rsidR="00F0171B" w:rsidRPr="00001714" w:rsidRDefault="0036167B" w:rsidP="00F0171B">
      <w:pPr>
        <w:spacing w:after="100" w:afterAutospacing="1"/>
        <w:rPr>
          <w:rFonts w:ascii="Arial" w:hAnsi="Arial" w:cs="Arial"/>
          <w:smallCaps/>
          <w:sz w:val="20"/>
        </w:rPr>
      </w:pPr>
      <w:hyperlink r:id="rId67" w:anchor="40:14.0.1.1.1.5.142" w:history="1">
        <w:r w:rsidR="00F0171B" w:rsidRPr="00001714">
          <w:rPr>
            <w:rFonts w:ascii="Arial" w:hAnsi="Arial" w:cs="Arial"/>
            <w:smallCaps/>
            <w:color w:val="0000FF"/>
            <w:sz w:val="20"/>
          </w:rPr>
          <w:t>Notification, Reports, and Records</w:t>
        </w:r>
      </w:hyperlink>
    </w:p>
    <w:p w:rsidR="00F0171B" w:rsidRPr="00001714" w:rsidRDefault="0036167B" w:rsidP="00F0171B">
      <w:pPr>
        <w:rPr>
          <w:rFonts w:ascii="Arial" w:hAnsi="Arial" w:cs="Arial"/>
          <w:sz w:val="20"/>
        </w:rPr>
      </w:pPr>
      <w:hyperlink r:id="rId68" w:anchor="40:14.0.1.1.1.5.142.21" w:history="1">
        <w:r w:rsidR="00F0171B" w:rsidRPr="00001714">
          <w:rPr>
            <w:rFonts w:ascii="Arial" w:hAnsi="Arial" w:cs="Arial"/>
            <w:color w:val="0000FF"/>
            <w:sz w:val="20"/>
          </w:rPr>
          <w:t>§63.7545 What notifications must I submit and when?</w:t>
        </w:r>
      </w:hyperlink>
      <w:r w:rsidR="00F0171B" w:rsidRPr="00001714">
        <w:rPr>
          <w:rFonts w:ascii="Arial" w:hAnsi="Arial" w:cs="Arial"/>
          <w:sz w:val="20"/>
        </w:rPr>
        <w:br/>
      </w:r>
      <w:hyperlink r:id="rId69" w:anchor="40:14.0.1.1.1.5.142.22" w:history="1">
        <w:r w:rsidR="00F0171B" w:rsidRPr="00001714">
          <w:rPr>
            <w:rFonts w:ascii="Arial" w:hAnsi="Arial" w:cs="Arial"/>
            <w:color w:val="0000FF"/>
            <w:sz w:val="20"/>
          </w:rPr>
          <w:t xml:space="preserve">§63.7550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reports must I submit and when?</w:t>
        </w:r>
      </w:hyperlink>
      <w:r w:rsidR="00F0171B" w:rsidRPr="00001714">
        <w:rPr>
          <w:rFonts w:ascii="Arial" w:hAnsi="Arial" w:cs="Arial"/>
          <w:sz w:val="20"/>
        </w:rPr>
        <w:br/>
      </w:r>
      <w:hyperlink r:id="rId70" w:anchor="40:14.0.1.1.1.5.142.23" w:history="1">
        <w:r w:rsidR="00F0171B" w:rsidRPr="00001714">
          <w:rPr>
            <w:rFonts w:ascii="Arial" w:hAnsi="Arial" w:cs="Arial"/>
            <w:color w:val="0000FF"/>
            <w:sz w:val="20"/>
          </w:rPr>
          <w:t xml:space="preserve">§63.7555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records must I keep?</w:t>
        </w:r>
      </w:hyperlink>
      <w:r w:rsidR="00F0171B" w:rsidRPr="00001714">
        <w:rPr>
          <w:rFonts w:ascii="Arial" w:hAnsi="Arial" w:cs="Arial"/>
          <w:sz w:val="20"/>
        </w:rPr>
        <w:br/>
      </w:r>
      <w:hyperlink r:id="rId71" w:anchor="40:14.0.1.1.1.5.142.24" w:history="1">
        <w:r w:rsidR="00F0171B" w:rsidRPr="00001714">
          <w:rPr>
            <w:rFonts w:ascii="Arial" w:hAnsi="Arial" w:cs="Arial"/>
            <w:color w:val="0000FF"/>
            <w:sz w:val="20"/>
          </w:rPr>
          <w:t xml:space="preserve">§63.7560 </w:t>
        </w:r>
        <w:proofErr w:type="gramStart"/>
        <w:r w:rsidR="00F0171B" w:rsidRPr="00001714">
          <w:rPr>
            <w:rFonts w:ascii="Arial" w:hAnsi="Arial" w:cs="Arial"/>
            <w:color w:val="0000FF"/>
            <w:sz w:val="20"/>
          </w:rPr>
          <w:t>In</w:t>
        </w:r>
        <w:proofErr w:type="gramEnd"/>
        <w:r w:rsidR="00F0171B" w:rsidRPr="00001714">
          <w:rPr>
            <w:rFonts w:ascii="Arial" w:hAnsi="Arial" w:cs="Arial"/>
            <w:color w:val="0000FF"/>
            <w:sz w:val="20"/>
          </w:rPr>
          <w:t xml:space="preserve"> what form and how long must I keep my records?</w:t>
        </w:r>
      </w:hyperlink>
    </w:p>
    <w:p w:rsidR="00F0171B" w:rsidRPr="00001714" w:rsidRDefault="0036167B" w:rsidP="00F0171B">
      <w:pPr>
        <w:spacing w:after="100" w:afterAutospacing="1"/>
        <w:rPr>
          <w:rFonts w:ascii="Arial" w:hAnsi="Arial" w:cs="Arial"/>
          <w:smallCaps/>
          <w:sz w:val="20"/>
        </w:rPr>
      </w:pPr>
      <w:hyperlink r:id="rId72" w:anchor="40:14.0.1.1.1.5.143" w:history="1">
        <w:r w:rsidR="00F0171B" w:rsidRPr="00001714">
          <w:rPr>
            <w:rFonts w:ascii="Arial" w:hAnsi="Arial" w:cs="Arial"/>
            <w:smallCaps/>
            <w:color w:val="0000FF"/>
            <w:sz w:val="20"/>
          </w:rPr>
          <w:t>Other Requirements and Information</w:t>
        </w:r>
      </w:hyperlink>
    </w:p>
    <w:p w:rsidR="00F0171B" w:rsidRPr="00001714" w:rsidRDefault="0036167B" w:rsidP="00F0171B">
      <w:pPr>
        <w:rPr>
          <w:rFonts w:ascii="Arial" w:hAnsi="Arial" w:cs="Arial"/>
          <w:sz w:val="20"/>
        </w:rPr>
      </w:pPr>
      <w:hyperlink r:id="rId73" w:anchor="40:14.0.1.1.1.5.143.25" w:history="1">
        <w:r w:rsidR="00F0171B" w:rsidRPr="00001714">
          <w:rPr>
            <w:rFonts w:ascii="Arial" w:hAnsi="Arial" w:cs="Arial"/>
            <w:color w:val="0000FF"/>
            <w:sz w:val="20"/>
          </w:rPr>
          <w:t xml:space="preserve">§63.7565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parts of the General Provisions apply to me?</w:t>
        </w:r>
      </w:hyperlink>
      <w:r w:rsidR="00F0171B" w:rsidRPr="00001714">
        <w:rPr>
          <w:rFonts w:ascii="Arial" w:hAnsi="Arial" w:cs="Arial"/>
          <w:sz w:val="20"/>
        </w:rPr>
        <w:br/>
      </w:r>
      <w:hyperlink r:id="rId74" w:anchor="40:14.0.1.1.1.5.143.26" w:history="1">
        <w:r w:rsidR="00F0171B" w:rsidRPr="00001714">
          <w:rPr>
            <w:rFonts w:ascii="Arial" w:hAnsi="Arial" w:cs="Arial"/>
            <w:color w:val="0000FF"/>
            <w:sz w:val="20"/>
          </w:rPr>
          <w:t xml:space="preserve">§63.7570 </w:t>
        </w:r>
        <w:proofErr w:type="gramStart"/>
        <w:r w:rsidR="00F0171B" w:rsidRPr="00001714">
          <w:rPr>
            <w:rFonts w:ascii="Arial" w:hAnsi="Arial" w:cs="Arial"/>
            <w:color w:val="0000FF"/>
            <w:sz w:val="20"/>
          </w:rPr>
          <w:t>Who</w:t>
        </w:r>
        <w:proofErr w:type="gramEnd"/>
        <w:r w:rsidR="00F0171B" w:rsidRPr="00001714">
          <w:rPr>
            <w:rFonts w:ascii="Arial" w:hAnsi="Arial" w:cs="Arial"/>
            <w:color w:val="0000FF"/>
            <w:sz w:val="20"/>
          </w:rPr>
          <w:t xml:space="preserve"> implements and enforces this subpart?</w:t>
        </w:r>
      </w:hyperlink>
      <w:r w:rsidR="00F0171B" w:rsidRPr="00001714">
        <w:rPr>
          <w:rFonts w:ascii="Arial" w:hAnsi="Arial" w:cs="Arial"/>
          <w:sz w:val="20"/>
        </w:rPr>
        <w:br/>
      </w:r>
      <w:hyperlink r:id="rId75" w:anchor="40:14.0.1.1.1.5.143.27" w:history="1">
        <w:r w:rsidR="00F0171B" w:rsidRPr="00001714">
          <w:rPr>
            <w:rFonts w:ascii="Arial" w:hAnsi="Arial" w:cs="Arial"/>
            <w:color w:val="0000FF"/>
            <w:sz w:val="20"/>
          </w:rPr>
          <w:t xml:space="preserve">§63.7575 </w:t>
        </w:r>
        <w:proofErr w:type="gramStart"/>
        <w:r w:rsidR="00F0171B" w:rsidRPr="00001714">
          <w:rPr>
            <w:rFonts w:ascii="Arial" w:hAnsi="Arial" w:cs="Arial"/>
            <w:color w:val="0000FF"/>
            <w:sz w:val="20"/>
          </w:rPr>
          <w:t>What</w:t>
        </w:r>
        <w:proofErr w:type="gramEnd"/>
        <w:r w:rsidR="00F0171B" w:rsidRPr="00001714">
          <w:rPr>
            <w:rFonts w:ascii="Arial" w:hAnsi="Arial" w:cs="Arial"/>
            <w:color w:val="0000FF"/>
            <w:sz w:val="20"/>
          </w:rPr>
          <w:t xml:space="preserve"> definitions apply to this subpart?</w:t>
        </w:r>
      </w:hyperlink>
      <w:r w:rsidR="00F0171B" w:rsidRPr="00001714">
        <w:rPr>
          <w:rFonts w:ascii="Arial" w:hAnsi="Arial" w:cs="Arial"/>
          <w:sz w:val="20"/>
        </w:rPr>
        <w:br/>
      </w:r>
      <w:hyperlink r:id="rId76" w:anchor="40:14.0.1.1.1.5.144.28.25" w:history="1">
        <w:r w:rsidR="00F0171B" w:rsidRPr="00001714">
          <w:rPr>
            <w:rFonts w:ascii="Arial" w:hAnsi="Arial" w:cs="Arial"/>
            <w:color w:val="0000FF"/>
            <w:sz w:val="20"/>
          </w:rPr>
          <w:t>Table 1 to Subpart DDDDD of Part 63—Emission Limits for New or Reconstructed Boilers and Process Heaters</w:t>
        </w:r>
      </w:hyperlink>
      <w:r w:rsidR="00F0171B" w:rsidRPr="00001714">
        <w:rPr>
          <w:rFonts w:ascii="Arial" w:hAnsi="Arial" w:cs="Arial"/>
          <w:sz w:val="20"/>
        </w:rPr>
        <w:br/>
      </w:r>
      <w:hyperlink r:id="rId77" w:anchor="40:14.0.1.1.1.5.144.28.26" w:history="1">
        <w:r w:rsidR="00F0171B" w:rsidRPr="00001714">
          <w:rPr>
            <w:rFonts w:ascii="Arial" w:hAnsi="Arial" w:cs="Arial"/>
            <w:color w:val="0000FF"/>
            <w:sz w:val="20"/>
          </w:rPr>
          <w:t>Table 2 to Subpart DDDDD of Part 63—Emission Limits for Existing Boilers and Process Heaters</w:t>
        </w:r>
      </w:hyperlink>
      <w:r w:rsidR="00F0171B" w:rsidRPr="00001714">
        <w:rPr>
          <w:rFonts w:ascii="Arial" w:hAnsi="Arial" w:cs="Arial"/>
          <w:sz w:val="20"/>
        </w:rPr>
        <w:br/>
      </w:r>
      <w:hyperlink r:id="rId78" w:anchor="40:14.0.1.1.1.5.144.28.27" w:history="1">
        <w:r w:rsidR="00F0171B" w:rsidRPr="00001714">
          <w:rPr>
            <w:rFonts w:ascii="Arial" w:hAnsi="Arial" w:cs="Arial"/>
            <w:color w:val="0000FF"/>
            <w:sz w:val="20"/>
          </w:rPr>
          <w:t>Table 3 to Subpart DDDDD of Part 63—Work Practice Standards</w:t>
        </w:r>
      </w:hyperlink>
      <w:r w:rsidR="00F0171B" w:rsidRPr="00001714">
        <w:rPr>
          <w:rFonts w:ascii="Arial" w:hAnsi="Arial" w:cs="Arial"/>
          <w:sz w:val="20"/>
        </w:rPr>
        <w:br/>
      </w:r>
      <w:hyperlink r:id="rId79" w:anchor="40:14.0.1.1.1.5.144.28.28" w:history="1">
        <w:r w:rsidR="00F0171B" w:rsidRPr="00001714">
          <w:rPr>
            <w:rFonts w:ascii="Arial" w:hAnsi="Arial" w:cs="Arial"/>
            <w:color w:val="0000FF"/>
            <w:sz w:val="20"/>
          </w:rPr>
          <w:t>Table 4 to Subpart DDDDD of Part 63—Operating Limits for Boilers and Process Heaters</w:t>
        </w:r>
      </w:hyperlink>
      <w:r w:rsidR="00F0171B" w:rsidRPr="00001714">
        <w:rPr>
          <w:rFonts w:ascii="Arial" w:hAnsi="Arial" w:cs="Arial"/>
          <w:sz w:val="20"/>
        </w:rPr>
        <w:br/>
      </w:r>
      <w:hyperlink r:id="rId80" w:anchor="40:14.0.1.1.1.5.144.28.29" w:history="1">
        <w:r w:rsidR="00F0171B" w:rsidRPr="00001714">
          <w:rPr>
            <w:rFonts w:ascii="Arial" w:hAnsi="Arial" w:cs="Arial"/>
            <w:color w:val="0000FF"/>
            <w:sz w:val="20"/>
          </w:rPr>
          <w:t>Table 5 to Subpart DDDDD of Part 63—Performance Testing Requirements</w:t>
        </w:r>
      </w:hyperlink>
      <w:r w:rsidR="00F0171B" w:rsidRPr="00001714">
        <w:rPr>
          <w:rFonts w:ascii="Arial" w:hAnsi="Arial" w:cs="Arial"/>
          <w:sz w:val="20"/>
        </w:rPr>
        <w:br/>
      </w:r>
      <w:hyperlink r:id="rId81" w:anchor="40:14.0.1.1.1.5.144.28.30" w:history="1">
        <w:r w:rsidR="00F0171B" w:rsidRPr="00001714">
          <w:rPr>
            <w:rFonts w:ascii="Arial" w:hAnsi="Arial" w:cs="Arial"/>
            <w:color w:val="0000FF"/>
            <w:sz w:val="20"/>
          </w:rPr>
          <w:t>Table 6 to Subpart DDDDD of Part 63—Fuel Analysis Requirements</w:t>
        </w:r>
      </w:hyperlink>
      <w:r w:rsidR="00F0171B" w:rsidRPr="00001714">
        <w:rPr>
          <w:rFonts w:ascii="Arial" w:hAnsi="Arial" w:cs="Arial"/>
          <w:sz w:val="20"/>
        </w:rPr>
        <w:br/>
      </w:r>
      <w:hyperlink r:id="rId82" w:anchor="40:14.0.1.1.1.5.144.28.31" w:history="1">
        <w:r w:rsidR="00F0171B" w:rsidRPr="00001714">
          <w:rPr>
            <w:rFonts w:ascii="Arial" w:hAnsi="Arial" w:cs="Arial"/>
            <w:color w:val="0000FF"/>
            <w:sz w:val="20"/>
          </w:rPr>
          <w:t>Table 7 to Subpart DDDDD of Part 63—Establishing Operating Limits</w:t>
        </w:r>
      </w:hyperlink>
      <w:r w:rsidR="00F0171B" w:rsidRPr="00001714">
        <w:rPr>
          <w:rFonts w:ascii="Arial" w:hAnsi="Arial" w:cs="Arial"/>
          <w:sz w:val="20"/>
        </w:rPr>
        <w:br/>
      </w:r>
      <w:hyperlink r:id="rId83" w:anchor="40:14.0.1.1.1.5.144.28.32" w:history="1">
        <w:r w:rsidR="00F0171B" w:rsidRPr="00001714">
          <w:rPr>
            <w:rFonts w:ascii="Arial" w:hAnsi="Arial" w:cs="Arial"/>
            <w:color w:val="0000FF"/>
            <w:sz w:val="20"/>
          </w:rPr>
          <w:t>Table 8 to Subpart DDDDD of Part 63—Demonstrating Continuous Compliance</w:t>
        </w:r>
      </w:hyperlink>
      <w:r w:rsidR="00F0171B" w:rsidRPr="00001714">
        <w:rPr>
          <w:rFonts w:ascii="Arial" w:hAnsi="Arial" w:cs="Arial"/>
          <w:sz w:val="20"/>
        </w:rPr>
        <w:br/>
      </w:r>
      <w:hyperlink r:id="rId84" w:anchor="40:14.0.1.1.1.5.144.28.33" w:history="1">
        <w:r w:rsidR="00F0171B" w:rsidRPr="00001714">
          <w:rPr>
            <w:rFonts w:ascii="Arial" w:hAnsi="Arial" w:cs="Arial"/>
            <w:color w:val="0000FF"/>
            <w:sz w:val="20"/>
          </w:rPr>
          <w:t>Table 9 to Subpart DDDDD of Part 63—Reporting Requirements</w:t>
        </w:r>
      </w:hyperlink>
      <w:r w:rsidR="00F0171B" w:rsidRPr="00001714">
        <w:rPr>
          <w:rFonts w:ascii="Arial" w:hAnsi="Arial" w:cs="Arial"/>
          <w:sz w:val="20"/>
        </w:rPr>
        <w:br/>
      </w:r>
      <w:hyperlink r:id="rId85" w:anchor="40:14.0.1.1.1.5.144.28.34" w:history="1">
        <w:r w:rsidR="00F0171B" w:rsidRPr="00001714">
          <w:rPr>
            <w:rFonts w:ascii="Arial" w:hAnsi="Arial" w:cs="Arial"/>
            <w:color w:val="0000FF"/>
            <w:sz w:val="20"/>
          </w:rPr>
          <w:t>Table 10 to Subpart DDDDD of Part 63—Applicability of General Provisions to Subpart DDDDD</w:t>
        </w:r>
      </w:hyperlink>
      <w:r w:rsidR="00F0171B" w:rsidRPr="00001714">
        <w:rPr>
          <w:rFonts w:ascii="Arial" w:hAnsi="Arial" w:cs="Arial"/>
          <w:sz w:val="20"/>
        </w:rPr>
        <w:br/>
      </w:r>
      <w:hyperlink r:id="rId86" w:anchor="40:14.0.1.1.1.5.144.28.35" w:history="1">
        <w:r w:rsidR="00F0171B" w:rsidRPr="00001714">
          <w:rPr>
            <w:rFonts w:ascii="Arial" w:hAnsi="Arial" w:cs="Arial"/>
            <w:color w:val="0000FF"/>
            <w:sz w:val="20"/>
          </w:rPr>
          <w:t>Table 11 to Subpart DDDDD of Part 63—Toxic Equivalency Factors for Dioxins/Furans</w:t>
        </w:r>
      </w:hyperlink>
      <w:r w:rsidR="00F0171B" w:rsidRPr="00001714">
        <w:rPr>
          <w:rFonts w:ascii="Arial" w:hAnsi="Arial" w:cs="Arial"/>
          <w:sz w:val="20"/>
        </w:rPr>
        <w:br/>
      </w:r>
      <w:hyperlink r:id="rId87" w:anchor="40:14.0.1.1.1.5.144.28.36" w:history="1">
        <w:r w:rsidR="00F0171B" w:rsidRPr="00001714">
          <w:rPr>
            <w:rFonts w:ascii="Arial" w:hAnsi="Arial" w:cs="Arial"/>
            <w:color w:val="0000FF"/>
            <w:sz w:val="20"/>
          </w:rPr>
          <w:t>Table 12 to Subpart DDDDD of Part 63—Alternative Emission Limits for New or Reconstructed Boilers and Process Heaters That Commenced Construction or Reconstruction After June 4, 2010, and Before May 20, 2011</w:t>
        </w:r>
      </w:hyperlink>
      <w:r w:rsidR="00F0171B" w:rsidRPr="00001714">
        <w:rPr>
          <w:rFonts w:ascii="Arial" w:hAnsi="Arial" w:cs="Arial"/>
          <w:sz w:val="20"/>
        </w:rPr>
        <w:br/>
      </w:r>
      <w:hyperlink r:id="rId88" w:anchor="40:14.0.1.1.1.5.144.28.37" w:history="1">
        <w:r w:rsidR="00F0171B" w:rsidRPr="00001714">
          <w:rPr>
            <w:rFonts w:ascii="Arial" w:hAnsi="Arial" w:cs="Arial"/>
            <w:color w:val="0000FF"/>
            <w:sz w:val="20"/>
          </w:rPr>
          <w:t>Table 13 to Subpart DDDDD of Part 63—Alternative Emission Limits for New or Reconstructed Boilers and Process Heaters That Commenced Construction or Reconstruction After December 23, 2011, and Before January 31, 2013</w:t>
        </w:r>
      </w:hyperlink>
    </w:p>
    <w:p w:rsidR="00F0171B" w:rsidRPr="00001714" w:rsidRDefault="0036167B" w:rsidP="00F0171B">
      <w:pPr>
        <w:rPr>
          <w:rFonts w:ascii="Arial" w:hAnsi="Arial" w:cs="Arial"/>
          <w:sz w:val="20"/>
        </w:rPr>
      </w:pPr>
      <w:r w:rsidRPr="0036167B">
        <w:rPr>
          <w:rFonts w:ascii="Arial" w:hAnsi="Arial" w:cs="Arial"/>
          <w:sz w:val="20"/>
        </w:rPr>
        <w:pict>
          <v:rect id="_x0000_i1027" style="width:0;height:1.5pt" o:hrstd="t" o:hr="t" fillcolor="#a0a0a0" stroked="f"/>
        </w:pic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Source:</w:t>
      </w:r>
      <w:r w:rsidRPr="00001714">
        <w:rPr>
          <w:rFonts w:ascii="Arial" w:hAnsi="Arial" w:cs="Arial"/>
          <w:sz w:val="20"/>
        </w:rPr>
        <w:t xml:space="preserve"> 76 FR 15664, Mar. 21, 2011, unless otherwise noted. </w:t>
      </w:r>
    </w:p>
    <w:p w:rsidR="00F0171B" w:rsidRPr="00001714" w:rsidRDefault="0036167B" w:rsidP="00F0171B">
      <w:pPr>
        <w:spacing w:before="200" w:after="100" w:afterAutospacing="1"/>
        <w:rPr>
          <w:rFonts w:ascii="Arial" w:hAnsi="Arial" w:cs="Arial"/>
          <w:sz w:val="20"/>
        </w:rPr>
      </w:pPr>
      <w:hyperlink r:id="rId89" w:anchor="_top" w:history="1">
        <w:r w:rsidR="00F0171B" w:rsidRPr="00001714">
          <w:rPr>
            <w:rFonts w:ascii="Arial" w:hAnsi="Arial" w:cs="Arial"/>
            <w:noProof/>
            <w:color w:val="0000FF"/>
            <w:sz w:val="20"/>
          </w:rPr>
          <w:drawing>
            <wp:inline distT="0" distB="0" distL="0" distR="0">
              <wp:extent cx="152400" cy="152400"/>
              <wp:effectExtent l="0" t="0" r="0" b="0"/>
              <wp:docPr id="114" name="Picture 114"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 w:name="40:14.0.1.1.1.5.137"/>
      <w:bookmarkEnd w:id="2"/>
      <w:r w:rsidRPr="00001714">
        <w:rPr>
          <w:rFonts w:ascii="Arial" w:hAnsi="Arial" w:cs="Arial"/>
          <w:b/>
          <w:bCs/>
          <w:smallCaps/>
          <w:sz w:val="20"/>
        </w:rPr>
        <w:t>What This Subpart Covers</w:t>
      </w:r>
    </w:p>
    <w:p w:rsidR="00F0171B" w:rsidRPr="00001714" w:rsidRDefault="0036167B" w:rsidP="00F0171B">
      <w:pPr>
        <w:spacing w:before="200" w:after="100" w:afterAutospacing="1"/>
        <w:rPr>
          <w:rFonts w:ascii="Arial" w:hAnsi="Arial" w:cs="Arial"/>
          <w:sz w:val="20"/>
        </w:rPr>
      </w:pPr>
      <w:hyperlink r:id="rId92" w:anchor="_top" w:history="1">
        <w:r w:rsidR="00F0171B" w:rsidRPr="00001714">
          <w:rPr>
            <w:rFonts w:ascii="Arial" w:hAnsi="Arial" w:cs="Arial"/>
            <w:noProof/>
            <w:color w:val="0000FF"/>
            <w:sz w:val="20"/>
          </w:rPr>
          <w:drawing>
            <wp:inline distT="0" distB="0" distL="0" distR="0">
              <wp:extent cx="152400" cy="152400"/>
              <wp:effectExtent l="0" t="0" r="0" b="0"/>
              <wp:docPr id="113" name="Picture 113"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 w:name="40:14.0.1.1.1.5.137.1"/>
      <w:bookmarkEnd w:id="3"/>
      <w:r w:rsidRPr="00001714">
        <w:rPr>
          <w:rFonts w:ascii="Arial" w:hAnsi="Arial" w:cs="Arial"/>
          <w:b/>
          <w:bCs/>
          <w:sz w:val="20"/>
        </w:rPr>
        <w:t xml:space="preserve">§63.7480 </w:t>
      </w:r>
      <w:proofErr w:type="gramStart"/>
      <w:r w:rsidRPr="00001714">
        <w:rPr>
          <w:rFonts w:ascii="Arial" w:hAnsi="Arial" w:cs="Arial"/>
          <w:b/>
          <w:bCs/>
          <w:sz w:val="20"/>
        </w:rPr>
        <w:t>What</w:t>
      </w:r>
      <w:proofErr w:type="gramEnd"/>
      <w:r w:rsidRPr="00001714">
        <w:rPr>
          <w:rFonts w:ascii="Arial" w:hAnsi="Arial" w:cs="Arial"/>
          <w:b/>
          <w:bCs/>
          <w:sz w:val="20"/>
        </w:rPr>
        <w:t xml:space="preserve"> is the purpose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This subpart establishes national emission limitations and work practice standards for hazardous air pollutants (HAP) emitted from industrial, commercial, and institutional boilers and process heaters located at major sources of HAP. This subpart also establishes requirements to demonstrate initial and continuous compliance with the emission limitations and work practice standards.</w:t>
      </w:r>
    </w:p>
    <w:p w:rsidR="00F0171B" w:rsidRPr="00001714" w:rsidRDefault="0036167B" w:rsidP="00F0171B">
      <w:pPr>
        <w:spacing w:before="200" w:after="100" w:afterAutospacing="1"/>
        <w:rPr>
          <w:rFonts w:ascii="Arial" w:hAnsi="Arial" w:cs="Arial"/>
          <w:sz w:val="20"/>
        </w:rPr>
      </w:pPr>
      <w:hyperlink r:id="rId93" w:anchor="_top" w:history="1">
        <w:r w:rsidR="00F0171B" w:rsidRPr="00001714">
          <w:rPr>
            <w:rFonts w:ascii="Arial" w:hAnsi="Arial" w:cs="Arial"/>
            <w:noProof/>
            <w:color w:val="0000FF"/>
            <w:sz w:val="20"/>
          </w:rPr>
          <w:drawing>
            <wp:inline distT="0" distB="0" distL="0" distR="0">
              <wp:extent cx="152400" cy="152400"/>
              <wp:effectExtent l="0" t="0" r="0" b="0"/>
              <wp:docPr id="112" name="Picture 112"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 w:name="40:14.0.1.1.1.5.137.2"/>
      <w:bookmarkEnd w:id="4"/>
      <w:r w:rsidRPr="00001714">
        <w:rPr>
          <w:rFonts w:ascii="Arial" w:hAnsi="Arial" w:cs="Arial"/>
          <w:b/>
          <w:bCs/>
          <w:sz w:val="20"/>
        </w:rPr>
        <w:t>§63.7485 Am I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You are subject to this subpart if you own or operate an industrial, commercial, or institutional boiler or process heater as defined in §63.7575 that is located at, or is part of, a major source of HAP, except as specified in §63.7491. For purposes of this subpart, a major source of HAP is as defined in §63.2, except that for oil and natural gas production facilities, a major source of HAP is as defined in §63.7575.</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7162, Jan. 31, 2013]</w:t>
      </w:r>
    </w:p>
    <w:p w:rsidR="00F0171B" w:rsidRPr="00001714" w:rsidRDefault="0036167B" w:rsidP="00F0171B">
      <w:pPr>
        <w:spacing w:before="200" w:after="100" w:afterAutospacing="1"/>
        <w:rPr>
          <w:rFonts w:ascii="Arial" w:hAnsi="Arial" w:cs="Arial"/>
          <w:sz w:val="20"/>
        </w:rPr>
      </w:pPr>
      <w:hyperlink r:id="rId94" w:anchor="_top" w:history="1">
        <w:r w:rsidR="00F0171B" w:rsidRPr="00001714">
          <w:rPr>
            <w:rFonts w:ascii="Arial" w:hAnsi="Arial" w:cs="Arial"/>
            <w:noProof/>
            <w:color w:val="0000FF"/>
            <w:sz w:val="20"/>
          </w:rPr>
          <w:drawing>
            <wp:inline distT="0" distB="0" distL="0" distR="0">
              <wp:extent cx="152400" cy="152400"/>
              <wp:effectExtent l="0" t="0" r="0" b="0"/>
              <wp:docPr id="111" name="Picture 111"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5" w:name="40:14.0.1.1.1.5.137.3"/>
      <w:bookmarkEnd w:id="5"/>
      <w:r w:rsidRPr="00001714">
        <w:rPr>
          <w:rFonts w:ascii="Arial" w:hAnsi="Arial" w:cs="Arial"/>
          <w:b/>
          <w:bCs/>
          <w:sz w:val="20"/>
        </w:rPr>
        <w:t xml:space="preserve">§63.7490 </w:t>
      </w:r>
      <w:proofErr w:type="gramStart"/>
      <w:r w:rsidRPr="00001714">
        <w:rPr>
          <w:rFonts w:ascii="Arial" w:hAnsi="Arial" w:cs="Arial"/>
          <w:b/>
          <w:bCs/>
          <w:sz w:val="20"/>
        </w:rPr>
        <w:t>What</w:t>
      </w:r>
      <w:proofErr w:type="gramEnd"/>
      <w:r w:rsidRPr="00001714">
        <w:rPr>
          <w:rFonts w:ascii="Arial" w:hAnsi="Arial" w:cs="Arial"/>
          <w:b/>
          <w:bCs/>
          <w:sz w:val="20"/>
        </w:rPr>
        <w:t xml:space="preserve"> is the affected source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(a) This subpart applies to new, reconstructed, and existing affected sources as described in paragraphs (a</w:t>
      </w:r>
      <w:proofErr w:type="gramStart"/>
      <w:r w:rsidRPr="00001714">
        <w:rPr>
          <w:rFonts w:ascii="Arial" w:hAnsi="Arial" w:cs="Arial"/>
          <w:sz w:val="20"/>
        </w:rPr>
        <w:t>)(</w:t>
      </w:r>
      <w:proofErr w:type="gramEnd"/>
      <w:r w:rsidRPr="00001714">
        <w:rPr>
          <w:rFonts w:ascii="Arial" w:hAnsi="Arial" w:cs="Arial"/>
          <w:sz w:val="20"/>
        </w:rPr>
        <w:t>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affected source of this subpart is the collection at a major source of all existing industrial, commercial, and institutional boilers and process heaters within a subcategory as defined in §63.7575.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affected source of this subpart is each new or reconstructed industrial, commercial, or institutional boiler or process heater, as defined in §63.7575, located at a major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boiler or process heater is new if you commence construction of the boiler or process heater after June 4, 2010, and you meet the applicability criteria at the time you commence construction.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boiler or process heater is reconstructed if you meet the reconstruction criteria as defined in §63.2, you commence reconstruction after June 4, 2010, and you meet the applicability criteria at the time you commence reconstruction.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(d) A boiler or process heater </w:t>
      </w:r>
      <w:proofErr w:type="gramStart"/>
      <w:r w:rsidRPr="00001714">
        <w:rPr>
          <w:rFonts w:ascii="Arial" w:hAnsi="Arial" w:cs="Arial"/>
          <w:sz w:val="20"/>
        </w:rPr>
        <w:t>is existing</w:t>
      </w:r>
      <w:proofErr w:type="gramEnd"/>
      <w:r w:rsidRPr="00001714">
        <w:rPr>
          <w:rFonts w:ascii="Arial" w:hAnsi="Arial" w:cs="Arial"/>
          <w:sz w:val="20"/>
        </w:rPr>
        <w:t xml:space="preserve"> if it is not new or reconstructed.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An existing electric utility steam generating unit (EGU) that meets the applicability requirements of this subpart after the effective date of this final rule due to a change (e.g., fuel switch) is considered to be an existing source under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36167B" w:rsidP="00F0171B">
      <w:pPr>
        <w:spacing w:before="200" w:after="100" w:afterAutospacing="1"/>
        <w:rPr>
          <w:rFonts w:ascii="Arial" w:hAnsi="Arial" w:cs="Arial"/>
          <w:sz w:val="20"/>
        </w:rPr>
      </w:pPr>
      <w:hyperlink r:id="rId95" w:anchor="_top" w:history="1">
        <w:r w:rsidR="00F0171B" w:rsidRPr="00001714">
          <w:rPr>
            <w:rFonts w:ascii="Arial" w:hAnsi="Arial" w:cs="Arial"/>
            <w:noProof/>
            <w:color w:val="0000FF"/>
            <w:sz w:val="20"/>
          </w:rPr>
          <w:drawing>
            <wp:inline distT="0" distB="0" distL="0" distR="0">
              <wp:extent cx="152400" cy="152400"/>
              <wp:effectExtent l="0" t="0" r="0" b="0"/>
              <wp:docPr id="110" name="Picture 110"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6" w:name="40:14.0.1.1.1.5.137.4"/>
      <w:bookmarkEnd w:id="6"/>
      <w:r w:rsidRPr="00001714">
        <w:rPr>
          <w:rFonts w:ascii="Arial" w:hAnsi="Arial" w:cs="Arial"/>
          <w:b/>
          <w:bCs/>
          <w:sz w:val="20"/>
        </w:rPr>
        <w:t xml:space="preserve">§63.7491 </w:t>
      </w:r>
      <w:proofErr w:type="gramStart"/>
      <w:r w:rsidRPr="00001714">
        <w:rPr>
          <w:rFonts w:ascii="Arial" w:hAnsi="Arial" w:cs="Arial"/>
          <w:b/>
          <w:bCs/>
          <w:sz w:val="20"/>
        </w:rPr>
        <w:t>Are</w:t>
      </w:r>
      <w:proofErr w:type="gramEnd"/>
      <w:r w:rsidRPr="00001714">
        <w:rPr>
          <w:rFonts w:ascii="Arial" w:hAnsi="Arial" w:cs="Arial"/>
          <w:b/>
          <w:bCs/>
          <w:sz w:val="20"/>
        </w:rPr>
        <w:t xml:space="preserve"> any boilers or process heaters not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The types of boilers and process heaters listed in paragraphs (a) through (n) of this section are not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An electric utility steam generating unit (EGU) covered by subpart UUUUU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recovery boiler or furnace covered by subpart MM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boiler or process heater that is used specifically for research and development, including test steam boilers used to provide steam for testing the propulsion systems on military vessels. This does not include units that provide heat or steam to a process at a research and development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A hot water heater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A refining kettle covered by subpart X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An ethylene cracking furnace covered by subpart YY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Blast furnace stoves as described in EPA-453/R-01-005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Any boiler or process heater that is part of the affected source subject to another subpart of this part, such as boilers and process heaters used as control devices to comply with subparts JJJ, OOO, PPP, and U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 Any boiler or process heater that is used as a control device to comply with another subpart of this part, or part 60, part 61, or part 65 of this chapter provided that at least 50 percent of the average annual heat input during any 3 consecutive calendar years to the boiler or process heater is provided by regulated gas streams that are subject to another standard.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Temporary boilers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Blast furnace gas fuel-fired boilers and process heaters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(l) Any boiler specifically listed as an affected source in any standard(s) established under section 129 of the Clean Air Act.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A unit that burns hazardous waste covered by Subpart EEE of this part. A unit that is exempt from Subpart EEE as specified in §63.1200(b) is not covered by Subpart EEE.</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7162, Jan. 31, 2013, §63.7491 was amended by revising paragraph (n). However, there is no paragraph (n) to be revised. </w:t>
      </w:r>
    </w:p>
    <w:p w:rsidR="00F0171B" w:rsidRPr="00001714" w:rsidRDefault="0036167B" w:rsidP="00F0171B">
      <w:pPr>
        <w:spacing w:before="200" w:after="100" w:afterAutospacing="1"/>
        <w:rPr>
          <w:rFonts w:ascii="Arial" w:hAnsi="Arial" w:cs="Arial"/>
          <w:sz w:val="20"/>
        </w:rPr>
      </w:pPr>
      <w:hyperlink r:id="rId96" w:anchor="_top" w:history="1">
        <w:r w:rsidR="00F0171B" w:rsidRPr="00001714">
          <w:rPr>
            <w:rFonts w:ascii="Arial" w:hAnsi="Arial" w:cs="Arial"/>
            <w:noProof/>
            <w:color w:val="0000FF"/>
            <w:sz w:val="20"/>
          </w:rPr>
          <w:drawing>
            <wp:inline distT="0" distB="0" distL="0" distR="0">
              <wp:extent cx="152400" cy="152400"/>
              <wp:effectExtent l="0" t="0" r="0" b="0"/>
              <wp:docPr id="109" name="Picture 10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7" w:name="40:14.0.1.1.1.5.137.5"/>
      <w:bookmarkEnd w:id="7"/>
      <w:r w:rsidRPr="00001714">
        <w:rPr>
          <w:rFonts w:ascii="Arial" w:hAnsi="Arial" w:cs="Arial"/>
          <w:b/>
          <w:bCs/>
          <w:sz w:val="20"/>
        </w:rPr>
        <w:t>§63.7495 When do I have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If you have a new or reconstructed boiler or process heater, you must comply with this subpart by January 31, 2013, or upon startup of your boiler or process heater, whichever is later.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 have an existing boiler or process heater, you must comply with this subpart no later than January 31, 2016, except as provided in §63.6(i).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have an area source that increases its emissions or its potential to emit such that it becomes a major source of HAP, paragraphs (c</w:t>
      </w:r>
      <w:proofErr w:type="gramStart"/>
      <w:r w:rsidRPr="00001714">
        <w:rPr>
          <w:rFonts w:ascii="Arial" w:hAnsi="Arial" w:cs="Arial"/>
          <w:sz w:val="20"/>
        </w:rPr>
        <w:t>)(</w:t>
      </w:r>
      <w:proofErr w:type="gramEnd"/>
      <w:r w:rsidRPr="00001714">
        <w:rPr>
          <w:rFonts w:ascii="Arial" w:hAnsi="Arial" w:cs="Arial"/>
          <w:sz w:val="20"/>
        </w:rPr>
        <w:t>1) and (2) of this section apply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Any new or reconstructed boiler or process heater at the existing source must be in compliance with this subpart upon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Any existing boiler or process heater at the existing source must be in compliance with this subpart within 3 years after the source becomes a major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meet the notification requirements in §63.7545 according to the schedule in §63.7545 and in subpart A of this part. Some of the notifications must be submitted before you are required to comply with the emission limits and work practice standards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own or operate an industrial, commercial, or institutional boiler or process heater and would be subject to this subpart except for the exemption in §63.7491(l) for commercial and industrial solid waste incineration units covered by part 60, subpart CCCC or subpart DDDD, and you cease combusting solid waste, you must be in compliance with this subpart on the effective date of the switch from waste to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own or operate an existing EGU that becomes subject to this subpart after January 31, 2013, you must be in compliance with the applicable existing source provisions of this subpart on the effective date such unit becomes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(g) If you own or operate an existing industrial, commercial, or institutional boiler or process heater and would be subject to this subpart except for a exemption in §63.7491(i) that becomes subject to this subpart after January 31, 2013, you must be in compliance with the applicable existing source provisions of this subpart within 3 years after such unit becomes subject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7162, Jan. 31, 2013, §63.7495 was amended by adding paragraph (e). However, there is already a paragraph (e). </w:t>
      </w:r>
    </w:p>
    <w:p w:rsidR="00F0171B" w:rsidRPr="00001714" w:rsidRDefault="0036167B" w:rsidP="00F0171B">
      <w:pPr>
        <w:spacing w:before="200" w:after="100" w:afterAutospacing="1"/>
        <w:rPr>
          <w:rFonts w:ascii="Arial" w:hAnsi="Arial" w:cs="Arial"/>
          <w:sz w:val="20"/>
        </w:rPr>
      </w:pPr>
      <w:hyperlink r:id="rId97" w:anchor="_top" w:history="1">
        <w:r w:rsidR="00F0171B" w:rsidRPr="00001714">
          <w:rPr>
            <w:rFonts w:ascii="Arial" w:hAnsi="Arial" w:cs="Arial"/>
            <w:noProof/>
            <w:color w:val="0000FF"/>
            <w:sz w:val="20"/>
          </w:rPr>
          <w:drawing>
            <wp:inline distT="0" distB="0" distL="0" distR="0">
              <wp:extent cx="152400" cy="152400"/>
              <wp:effectExtent l="0" t="0" r="0" b="0"/>
              <wp:docPr id="108" name="Picture 108"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8" w:name="40:14.0.1.1.1.5.138"/>
      <w:bookmarkEnd w:id="8"/>
      <w:r w:rsidRPr="00001714">
        <w:rPr>
          <w:rFonts w:ascii="Arial" w:hAnsi="Arial" w:cs="Arial"/>
          <w:b/>
          <w:bCs/>
          <w:smallCaps/>
          <w:sz w:val="20"/>
        </w:rPr>
        <w:t>Emission Limitations and Work Practice Standards</w:t>
      </w:r>
    </w:p>
    <w:p w:rsidR="00F0171B" w:rsidRPr="00001714" w:rsidRDefault="0036167B" w:rsidP="00F0171B">
      <w:pPr>
        <w:spacing w:before="200" w:after="100" w:afterAutospacing="1"/>
        <w:rPr>
          <w:rFonts w:ascii="Arial" w:hAnsi="Arial" w:cs="Arial"/>
          <w:sz w:val="20"/>
        </w:rPr>
      </w:pPr>
      <w:hyperlink r:id="rId98" w:anchor="_top" w:history="1">
        <w:r w:rsidR="00F0171B" w:rsidRPr="00001714">
          <w:rPr>
            <w:rFonts w:ascii="Arial" w:hAnsi="Arial" w:cs="Arial"/>
            <w:noProof/>
            <w:color w:val="0000FF"/>
            <w:sz w:val="20"/>
          </w:rPr>
          <w:drawing>
            <wp:inline distT="0" distB="0" distL="0" distR="0">
              <wp:extent cx="152400" cy="152400"/>
              <wp:effectExtent l="0" t="0" r="0" b="0"/>
              <wp:docPr id="107" name="Picture 10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9" w:name="40:14.0.1.1.1.5.138.6"/>
      <w:bookmarkEnd w:id="9"/>
      <w:r w:rsidRPr="00001714">
        <w:rPr>
          <w:rFonts w:ascii="Arial" w:hAnsi="Arial" w:cs="Arial"/>
          <w:b/>
          <w:bCs/>
          <w:sz w:val="20"/>
        </w:rPr>
        <w:t xml:space="preserve">§63.7499 </w:t>
      </w:r>
      <w:proofErr w:type="gramStart"/>
      <w:r w:rsidRPr="00001714">
        <w:rPr>
          <w:rFonts w:ascii="Arial" w:hAnsi="Arial" w:cs="Arial"/>
          <w:b/>
          <w:bCs/>
          <w:sz w:val="20"/>
        </w:rPr>
        <w:t>What</w:t>
      </w:r>
      <w:proofErr w:type="gramEnd"/>
      <w:r w:rsidRPr="00001714">
        <w:rPr>
          <w:rFonts w:ascii="Arial" w:hAnsi="Arial" w:cs="Arial"/>
          <w:b/>
          <w:bCs/>
          <w:sz w:val="20"/>
        </w:rPr>
        <w:t xml:space="preserve"> are the subcategories of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The subcategories of boilers and process heaters, as defined in §63.7575 are: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Pulverized coal/solid fossil fuel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Stokers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Fluidized bed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Stokers/sloped grate/other units designed to burn kiln dried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Fluidized bed units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Suspension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Fuel cells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Hybrid suspension/grate burners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Stokers/sloped grate/other units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Dutch ovens/pile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(k) Units designed to burn liquid </w:t>
      </w:r>
      <w:proofErr w:type="gramStart"/>
      <w:r w:rsidRPr="00001714">
        <w:rPr>
          <w:rFonts w:ascii="Arial" w:hAnsi="Arial" w:cs="Arial"/>
          <w:sz w:val="20"/>
        </w:rPr>
        <w:t>fuel that are</w:t>
      </w:r>
      <w:proofErr w:type="gramEnd"/>
      <w:r w:rsidRPr="00001714">
        <w:rPr>
          <w:rFonts w:ascii="Arial" w:hAnsi="Arial" w:cs="Arial"/>
          <w:sz w:val="20"/>
        </w:rPr>
        <w:t xml:space="preserve"> non-continental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(l) Units designed to burn gas 1 </w:t>
      </w:r>
      <w:proofErr w:type="gramStart"/>
      <w:r w:rsidRPr="00001714">
        <w:rPr>
          <w:rFonts w:ascii="Arial" w:hAnsi="Arial" w:cs="Arial"/>
          <w:sz w:val="20"/>
        </w:rPr>
        <w:t>fuels</w:t>
      </w:r>
      <w:proofErr w:type="gramEnd"/>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Units designed to burn gas 2 (other) gases.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(n) Metal process furnaces.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(o) Limited-use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(p) Units designed to burn solid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(q) Units designed to burn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(r)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(s) Fluidized bed units with an integrated fluidized bed heat exchanger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 Units designed to burn heavy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 Units designed to burn light liquid fuel.</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7163, Jan. 31, 2013]</w:t>
      </w:r>
    </w:p>
    <w:p w:rsidR="00F0171B" w:rsidRPr="00001714" w:rsidRDefault="0036167B" w:rsidP="00F0171B">
      <w:pPr>
        <w:spacing w:before="200" w:after="100" w:afterAutospacing="1"/>
        <w:rPr>
          <w:rFonts w:ascii="Arial" w:hAnsi="Arial" w:cs="Arial"/>
          <w:sz w:val="20"/>
        </w:rPr>
      </w:pPr>
      <w:hyperlink r:id="rId99" w:anchor="_top" w:history="1">
        <w:r w:rsidR="00F0171B" w:rsidRPr="00001714">
          <w:rPr>
            <w:rFonts w:ascii="Arial" w:hAnsi="Arial" w:cs="Arial"/>
            <w:noProof/>
            <w:color w:val="0000FF"/>
            <w:sz w:val="20"/>
          </w:rPr>
          <w:drawing>
            <wp:inline distT="0" distB="0" distL="0" distR="0">
              <wp:extent cx="152400" cy="152400"/>
              <wp:effectExtent l="0" t="0" r="0" b="0"/>
              <wp:docPr id="106" name="Picture 106"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0" w:name="40:14.0.1.1.1.5.138.7"/>
      <w:bookmarkEnd w:id="10"/>
      <w:r w:rsidRPr="00001714">
        <w:rPr>
          <w:rFonts w:ascii="Arial" w:hAnsi="Arial" w:cs="Arial"/>
          <w:b/>
          <w:bCs/>
          <w:sz w:val="20"/>
        </w:rPr>
        <w:t xml:space="preserve">§63.7500 </w:t>
      </w:r>
      <w:proofErr w:type="gramStart"/>
      <w:r w:rsidRPr="00001714">
        <w:rPr>
          <w:rFonts w:ascii="Arial" w:hAnsi="Arial" w:cs="Arial"/>
          <w:b/>
          <w:bCs/>
          <w:sz w:val="20"/>
        </w:rPr>
        <w:t>What</w:t>
      </w:r>
      <w:proofErr w:type="gramEnd"/>
      <w:r w:rsidRPr="00001714">
        <w:rPr>
          <w:rFonts w:ascii="Arial" w:hAnsi="Arial" w:cs="Arial"/>
          <w:b/>
          <w:bCs/>
          <w:sz w:val="20"/>
        </w:rPr>
        <w:t xml:space="preserve"> emission limitations, work practice standards, and operating limits must I meet?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meet the requirements in paragraphs (a</w:t>
      </w:r>
      <w:proofErr w:type="gramStart"/>
      <w:r w:rsidRPr="00001714">
        <w:rPr>
          <w:rFonts w:ascii="Arial" w:hAnsi="Arial" w:cs="Arial"/>
          <w:sz w:val="20"/>
        </w:rPr>
        <w:t>)(</w:t>
      </w:r>
      <w:proofErr w:type="gramEnd"/>
      <w:r w:rsidRPr="00001714">
        <w:rPr>
          <w:rFonts w:ascii="Arial" w:hAnsi="Arial" w:cs="Arial"/>
          <w:sz w:val="20"/>
        </w:rPr>
        <w:t>1) through (3) of this section, except as provided in paragraphs (b), through (e) of this section. You must meet these requirements at all times the affected unit is operating, except as provided in paragraph (f)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meet each emission limit and work practice standard in Tables 1 through 3, and 11 through 13 to this subpart that applies to your boiler or process heater, for each boiler or process heater at your source, except as provided under §63.7522. The output-based emission limits, in units of pounds per million Btu of steam output, in Tables 1 or 2 to this subpart are an alternative applicable only to boilers and process heaters that generate steam. The output-based emission limits, in units of pounds per megawatt-hour, in Tables 1 or 2 to this subpart are an alternative applicable only to boilers that generate electricity. If you operate a new boiler or process heater, you can choose to comply with alternative limits as discussed in paragraphs (a)(1)(i) through (a)(1)(iii) of this section, but on or after January 31, 2016, you must comply with the emission limits in Table 1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your boiler or process heater commenced construction or reconstruction after June 4, 2010 and before May 20, 2011, you may comply with the emission limits in Table 1 or 11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If your boiler or process heater commenced construction or reconstruction after May 20, 2011 and before December 23, 2011, you may comply with the emission limits in Table 1 or 12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If your boiler or process heater commenced construction or reconstruction after December 23, 2011 and before January 31, 2013, you may comply with the emission limits in Table 1 or 13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meet each operating limit in Table 4 to this subpart that applies to your boiler or process heater. If you use a control device or combination of control devices not covered in Table 4 to this subpart, or you wish to establish and monitor an alternative operating limit or an alternative monitoring parameter, you must apply to the EPA Administrator for approval of alternative monitoring under §63.8(f).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(3) At all times, you must operate and maintain any affected source (as defined in §63.7490),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w:t>
      </w:r>
      <w:r w:rsidRPr="00001714">
        <w:rPr>
          <w:rFonts w:ascii="Arial" w:hAnsi="Arial" w:cs="Arial"/>
          <w:sz w:val="20"/>
        </w:rPr>
        <w:lastRenderedPageBreak/>
        <w:t>limited to, monitoring results, review of operation and maintenance procedures, review of operation and maintenance records, and inspection of the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provided in §63.6(g), EPA may approve use of an alternative to the work practice standards in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Limited-use boilers and process heaters must complete a tune-up every 5 years as specified in §63.7540. They are not subject to the emission limits in Tables 1 and 2 or 11 through 13 to this subpart, the annual tune-up, or the energy assessment requirements in Table 3 to this subpart, or the operating limits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Boilers and process heaters with a heat input capacity of less than or equal to 5 million Btu per hour in the units designed to burn gas 2 (other) fuels subcategory or units designed to burn light liquid fuels subcategory must complete a tune-up every 5 years as specified in §63.7540.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Boilers and process heaters in the units designed to burn gas 1 fuels subcategory with a heat input capacity of less than or equal to 5 million Btu per hour must complete a tune-up every 5 years as specified in §63.7540. Boilers and process heaters in the units designed to burn gas 1 fuels subcategory with a heat input capacity greater than 5 million Btu per hour and less than 10 million Btu per hour must complete a tune-up every 2 years as specified in §63.7540. Boilers and process heaters in the units designed to burn gas 1 fuels subcategory are not subject to the emission limits in Tables 1 and 2 or 11 through 13 to this subpart, or the operating limits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These standards apply at all times the affected unit is operating, except during periods of startup and shutdown during which time you must comply only with Table 3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7163, Jan. 31, 2013]</w:t>
      </w:r>
    </w:p>
    <w:p w:rsidR="00F0171B" w:rsidRPr="00001714" w:rsidRDefault="0036167B" w:rsidP="00F0171B">
      <w:pPr>
        <w:spacing w:before="200" w:after="100" w:afterAutospacing="1"/>
        <w:rPr>
          <w:rFonts w:ascii="Arial" w:hAnsi="Arial" w:cs="Arial"/>
          <w:sz w:val="20"/>
        </w:rPr>
      </w:pPr>
      <w:hyperlink r:id="rId100" w:anchor="_top" w:history="1">
        <w:r w:rsidR="00F0171B" w:rsidRPr="00001714">
          <w:rPr>
            <w:rFonts w:ascii="Arial" w:hAnsi="Arial" w:cs="Arial"/>
            <w:noProof/>
            <w:color w:val="0000FF"/>
            <w:sz w:val="20"/>
          </w:rPr>
          <w:drawing>
            <wp:inline distT="0" distB="0" distL="0" distR="0">
              <wp:extent cx="152400" cy="152400"/>
              <wp:effectExtent l="0" t="0" r="0" b="0"/>
              <wp:docPr id="105" name="Picture 105"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1" w:name="40:14.0.1.1.1.5.138.8"/>
      <w:bookmarkEnd w:id="11"/>
      <w:r w:rsidRPr="00001714">
        <w:rPr>
          <w:rFonts w:ascii="Arial" w:hAnsi="Arial" w:cs="Arial"/>
          <w:b/>
          <w:bCs/>
          <w:sz w:val="20"/>
        </w:rPr>
        <w:t xml:space="preserve">§63.7501 Affirmative Defense for Violation of Emission Standards </w:t>
      </w:r>
      <w:proofErr w:type="gramStart"/>
      <w:r w:rsidRPr="00001714">
        <w:rPr>
          <w:rFonts w:ascii="Arial" w:hAnsi="Arial" w:cs="Arial"/>
          <w:b/>
          <w:bCs/>
          <w:sz w:val="20"/>
        </w:rPr>
        <w:t>During</w:t>
      </w:r>
      <w:proofErr w:type="gramEnd"/>
      <w:r w:rsidRPr="00001714">
        <w:rPr>
          <w:rFonts w:ascii="Arial" w:hAnsi="Arial" w:cs="Arial"/>
          <w:b/>
          <w:bCs/>
          <w:sz w:val="20"/>
        </w:rPr>
        <w:t xml:space="preserve">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(a) </w:t>
      </w:r>
      <w:r w:rsidRPr="00001714">
        <w:rPr>
          <w:rFonts w:ascii="Arial" w:hAnsi="Arial" w:cs="Arial"/>
          <w:i/>
          <w:iCs/>
          <w:sz w:val="20"/>
        </w:rPr>
        <w:t>Assertion of affirmative defense.</w:t>
      </w:r>
      <w:r w:rsidRPr="00001714">
        <w:rPr>
          <w:rFonts w:ascii="Arial" w:hAnsi="Arial" w:cs="Arial"/>
          <w:sz w:val="20"/>
        </w:rPr>
        <w:t xml:space="preserve"> To establish the affirmative defense in any action to enforce such a standard, you must timely meet the reporting requirements in paragraph (b) of this section, and must prove by a preponderance of evidence that: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violation: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Was caused by a sudden, infrequent, and unavoidable failure of air pollution control equipment, process equipment, or a process to operate in a normal or usual manner;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Could not have been prevented through careful planning, proper design, or better operation and maintenance practices;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Did not stem from any activity or event that could have been foreseen and avoided, or planned for; and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Was</w:t>
      </w:r>
      <w:proofErr w:type="gramEnd"/>
      <w:r w:rsidRPr="00001714">
        <w:rPr>
          <w:rFonts w:ascii="Arial" w:hAnsi="Arial" w:cs="Arial"/>
          <w:sz w:val="20"/>
        </w:rPr>
        <w:t xml:space="preserve"> not part of a recurring pattern indicative of inadequate design, operation, or maintenance;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(2) Repairs were made as expeditiously as possible when a violation occurred;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frequency, amount, and duration of the violation (including any bypass) were minimized to the maximum extent practicable;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the violation resulted from a bypass of control equipment or a process, then the bypass was unavoidable to prevent loss of life, personal injury, or severe property damage;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All possible steps were taken to minimize the impact of the violation on ambient air quality, the environment, and human health;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All emissions monitoring and control systems were kept in operation if at all possible, consistent with safety and good air pollution control practices;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All of the actions in response to the violation were documented by properly signed, contemporaneous operating logs;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(8) </w:t>
      </w:r>
      <w:proofErr w:type="gramStart"/>
      <w:r w:rsidRPr="00001714">
        <w:rPr>
          <w:rFonts w:ascii="Arial" w:hAnsi="Arial" w:cs="Arial"/>
          <w:sz w:val="20"/>
        </w:rPr>
        <w:t>At</w:t>
      </w:r>
      <w:proofErr w:type="gramEnd"/>
      <w:r w:rsidRPr="00001714">
        <w:rPr>
          <w:rFonts w:ascii="Arial" w:hAnsi="Arial" w:cs="Arial"/>
          <w:sz w:val="20"/>
        </w:rPr>
        <w:t xml:space="preserve"> all times, the affected source was operated in a manner consistent with good practices for minimizing emissions;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(b) </w:t>
      </w:r>
      <w:r w:rsidRPr="00001714">
        <w:rPr>
          <w:rFonts w:ascii="Arial" w:hAnsi="Arial" w:cs="Arial"/>
          <w:i/>
          <w:iCs/>
          <w:sz w:val="20"/>
        </w:rPr>
        <w:t>Report.</w:t>
      </w:r>
      <w:r w:rsidRPr="00001714">
        <w:rPr>
          <w:rFonts w:ascii="Arial" w:hAnsi="Arial" w:cs="Arial"/>
          <w:sz w:val="20"/>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7163, Jan. 31, 2013]</w:t>
      </w:r>
    </w:p>
    <w:p w:rsidR="00F0171B" w:rsidRPr="00001714" w:rsidRDefault="0036167B" w:rsidP="00F0171B">
      <w:pPr>
        <w:spacing w:before="200" w:after="100" w:afterAutospacing="1"/>
        <w:rPr>
          <w:rFonts w:ascii="Arial" w:hAnsi="Arial" w:cs="Arial"/>
          <w:sz w:val="20"/>
        </w:rPr>
      </w:pPr>
      <w:hyperlink r:id="rId101" w:anchor="_top" w:history="1">
        <w:r w:rsidR="00F0171B" w:rsidRPr="00001714">
          <w:rPr>
            <w:rFonts w:ascii="Arial" w:hAnsi="Arial" w:cs="Arial"/>
            <w:noProof/>
            <w:color w:val="0000FF"/>
            <w:sz w:val="20"/>
          </w:rPr>
          <w:drawing>
            <wp:inline distT="0" distB="0" distL="0" distR="0">
              <wp:extent cx="152400" cy="152400"/>
              <wp:effectExtent l="0" t="0" r="0" b="0"/>
              <wp:docPr id="104" name="Picture 104"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12" w:name="40:14.0.1.1.1.5.139"/>
      <w:bookmarkEnd w:id="12"/>
      <w:r w:rsidRPr="00001714">
        <w:rPr>
          <w:rFonts w:ascii="Arial" w:hAnsi="Arial" w:cs="Arial"/>
          <w:b/>
          <w:bCs/>
          <w:smallCaps/>
          <w:sz w:val="20"/>
        </w:rPr>
        <w:t>General Compliance Requirements</w:t>
      </w:r>
    </w:p>
    <w:p w:rsidR="00F0171B" w:rsidRPr="00001714" w:rsidRDefault="0036167B" w:rsidP="00F0171B">
      <w:pPr>
        <w:spacing w:before="200" w:after="100" w:afterAutospacing="1"/>
        <w:rPr>
          <w:rFonts w:ascii="Arial" w:hAnsi="Arial" w:cs="Arial"/>
          <w:sz w:val="20"/>
        </w:rPr>
      </w:pPr>
      <w:hyperlink r:id="rId102" w:anchor="_top" w:history="1">
        <w:r w:rsidR="00F0171B" w:rsidRPr="00001714">
          <w:rPr>
            <w:rFonts w:ascii="Arial" w:hAnsi="Arial" w:cs="Arial"/>
            <w:noProof/>
            <w:color w:val="0000FF"/>
            <w:sz w:val="20"/>
          </w:rPr>
          <w:drawing>
            <wp:inline distT="0" distB="0" distL="0" distR="0">
              <wp:extent cx="152400" cy="152400"/>
              <wp:effectExtent l="0" t="0" r="0" b="0"/>
              <wp:docPr id="103" name="Picture 103"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3" w:name="40:14.0.1.1.1.5.139.9"/>
      <w:bookmarkEnd w:id="13"/>
      <w:r w:rsidRPr="00001714">
        <w:rPr>
          <w:rFonts w:ascii="Arial" w:hAnsi="Arial" w:cs="Arial"/>
          <w:b/>
          <w:bCs/>
          <w:sz w:val="20"/>
        </w:rPr>
        <w:t xml:space="preserve">§63.7505 </w:t>
      </w:r>
      <w:proofErr w:type="gramStart"/>
      <w:r w:rsidRPr="00001714">
        <w:rPr>
          <w:rFonts w:ascii="Arial" w:hAnsi="Arial" w:cs="Arial"/>
          <w:b/>
          <w:bCs/>
          <w:sz w:val="20"/>
        </w:rPr>
        <w:t>What</w:t>
      </w:r>
      <w:proofErr w:type="gramEnd"/>
      <w:r w:rsidRPr="00001714">
        <w:rPr>
          <w:rFonts w:ascii="Arial" w:hAnsi="Arial" w:cs="Arial"/>
          <w:b/>
          <w:bCs/>
          <w:sz w:val="20"/>
        </w:rPr>
        <w:t xml:space="preserve"> are my general requirements for complying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be in compliance with the emission limits, work practice standards, and operating limits in this subpart. These limits apply to you at all times the affected unit is operating except for the periods noted in §63.7500(f).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 xml:space="preserve">(c) You must demonstrate compliance with all applicable emission limits using performance stack testing, fuel analysis, or continuous monitoring systems (CMS), including a continuous emission monitoring system (CEMS), continuous opacity monitoring system (COMS), </w:t>
      </w:r>
      <w:proofErr w:type="gramStart"/>
      <w:r w:rsidRPr="00001714">
        <w:rPr>
          <w:rFonts w:ascii="Arial" w:hAnsi="Arial" w:cs="Arial"/>
          <w:sz w:val="20"/>
        </w:rPr>
        <w:t>continuous</w:t>
      </w:r>
      <w:proofErr w:type="gramEnd"/>
      <w:r w:rsidRPr="00001714">
        <w:rPr>
          <w:rFonts w:ascii="Arial" w:hAnsi="Arial" w:cs="Arial"/>
          <w:sz w:val="20"/>
        </w:rPr>
        <w:t xml:space="preserve"> parameter monitoring system (CPMS), or particulate matter continuous parameter monitoring system (PM CPMS), where applicable. You may demonstrate compliance with the applicable emission limit for hydrogen chloride (HCl), mercury, or total selected metals (TSM) using fuel analysis if the emission rate calculated according to §63.7530(c) is less than the applicable emission limit. (For gaseous fuels, you may not use fuel analyses to comply with the TSM alternative standard or the HCl standard.) Otherwise, you must demonstrate compliance for HCl, mercury, or TSM using performance testing, if subject to an applicable emission limit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demonstrate compliance with any applicable emission limit through performance testing and subsequent compliance with operating limits (including the use of CPMS), or with a CEMS, or COMS, you must develop a site-specific monitoring plan according to the requirements in paragraphs (d)(1) through (4) of this section for the use of any CEMS, COMS, or CPMS. This requirement also applies to you if you petition the EPA Administrator for alternative monitoring parameters under §63.8(f).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each CMS required in this section (including CEMS, COMS, or CPMS), you must develop, and submit to the Administrator for approval upon request, a site-specific monitoring plan that addresses design, data collection, and the quality assurance and quality control elements outlined in §63.8(d) and the elements described in paragraphs (d)(1)(i) through (iii) of this section. You must submit this site-specific monitoring plan, if requested, at least 60 days before your initial performance evaluation of your CMS. This requirement to develop and submit a site specific monitoring plan does not apply to affected sources with existing CEMS or COMS operated according to the performance specifications under appendix B to part 60 of this chapter and that meet the requirements of §63.7525. Using the process described in §63.8(f)(4), you may request approval of alternative monitoring system quality assurance and quality control procedures in place of those specified in this paragraph and, if approved, include the alternatives in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Installation of the CMS sampling probe or other interface at a measurement location relative to each affected process unit such that the measurement is representative of control of the exhaust emissions (e.g., on or downstream of the last control device);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Performance and equipment specifications for the sample interface, the pollutant concentration or parametric signal analyzer, and the data collection and reduction systems;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Performance evaluation procedures and acceptance criteria (e.g., calibrations, accuracy audits, analytical drift).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In your site-specific monitoring plan, you must also address paragraphs (d</w:t>
      </w:r>
      <w:proofErr w:type="gramStart"/>
      <w:r w:rsidRPr="00001714">
        <w:rPr>
          <w:rFonts w:ascii="Arial" w:hAnsi="Arial" w:cs="Arial"/>
          <w:sz w:val="20"/>
        </w:rPr>
        <w:t>)(</w:t>
      </w:r>
      <w:proofErr w:type="gramEnd"/>
      <w:r w:rsidRPr="00001714">
        <w:rPr>
          <w:rFonts w:ascii="Arial" w:hAnsi="Arial" w:cs="Arial"/>
          <w:sz w:val="20"/>
        </w:rPr>
        <w:t>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Ongoing operation and maintenance procedures in accordance with the general requirements of §63.8(c</w:t>
      </w:r>
      <w:proofErr w:type="gramStart"/>
      <w:r w:rsidRPr="00001714">
        <w:rPr>
          <w:rFonts w:ascii="Arial" w:hAnsi="Arial" w:cs="Arial"/>
          <w:sz w:val="20"/>
        </w:rPr>
        <w:t>)(</w:t>
      </w:r>
      <w:proofErr w:type="gramEnd"/>
      <w:r w:rsidRPr="00001714">
        <w:rPr>
          <w:rFonts w:ascii="Arial" w:hAnsi="Arial" w:cs="Arial"/>
          <w:sz w:val="20"/>
        </w:rPr>
        <w:t>1)(ii), (c)(3), and (c)(4)(ii);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Ongoing data quality assurance procedures in accordance with the general requirements of §63.8(d);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Ongoing recordkeeping and reporting procedures in accordance with the general requirements of §63.10(c) (as applicable in Table 10 to this subpart), (e</w:t>
      </w:r>
      <w:proofErr w:type="gramStart"/>
      <w:r w:rsidRPr="00001714">
        <w:rPr>
          <w:rFonts w:ascii="Arial" w:hAnsi="Arial" w:cs="Arial"/>
          <w:sz w:val="20"/>
        </w:rPr>
        <w:t>)(</w:t>
      </w:r>
      <w:proofErr w:type="gramEnd"/>
      <w:r w:rsidRPr="00001714">
        <w:rPr>
          <w:rFonts w:ascii="Arial" w:hAnsi="Arial" w:cs="Arial"/>
          <w:sz w:val="20"/>
        </w:rPr>
        <w:t>1), and (e)(2)(i).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conduct a performance evaluation of each CMS in accordance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operate and maintain the CMS in continuous operation according to the site-specific monitoring plan.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lastRenderedPageBreak/>
        <w:t>[76 FR 15664, Mar. 21, 2011, as amended at 78 FR 7164, Jan. 31, 2013]</w:t>
      </w:r>
    </w:p>
    <w:p w:rsidR="00F0171B" w:rsidRPr="00001714" w:rsidRDefault="0036167B" w:rsidP="00F0171B">
      <w:pPr>
        <w:spacing w:before="200" w:after="100" w:afterAutospacing="1"/>
        <w:rPr>
          <w:rFonts w:ascii="Arial" w:hAnsi="Arial" w:cs="Arial"/>
          <w:sz w:val="20"/>
        </w:rPr>
      </w:pPr>
      <w:hyperlink r:id="rId103" w:anchor="_top" w:history="1">
        <w:r w:rsidR="00F0171B" w:rsidRPr="00001714">
          <w:rPr>
            <w:rFonts w:ascii="Arial" w:hAnsi="Arial" w:cs="Arial"/>
            <w:noProof/>
            <w:color w:val="0000FF"/>
            <w:sz w:val="20"/>
          </w:rPr>
          <w:drawing>
            <wp:inline distT="0" distB="0" distL="0" distR="0">
              <wp:extent cx="152400" cy="152400"/>
              <wp:effectExtent l="0" t="0" r="0" b="0"/>
              <wp:docPr id="102" name="Picture 102"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14" w:name="40:14.0.1.1.1.5.140"/>
      <w:bookmarkEnd w:id="14"/>
      <w:r w:rsidRPr="00001714">
        <w:rPr>
          <w:rFonts w:ascii="Arial" w:hAnsi="Arial" w:cs="Arial"/>
          <w:b/>
          <w:bCs/>
          <w:smallCaps/>
          <w:sz w:val="20"/>
        </w:rPr>
        <w:t>Testing, Fuel Analyses, and Initial Compliance Requirements</w:t>
      </w:r>
    </w:p>
    <w:p w:rsidR="00F0171B" w:rsidRPr="00001714" w:rsidRDefault="0036167B" w:rsidP="00F0171B">
      <w:pPr>
        <w:spacing w:before="200" w:after="100" w:afterAutospacing="1"/>
        <w:rPr>
          <w:rFonts w:ascii="Arial" w:hAnsi="Arial" w:cs="Arial"/>
          <w:sz w:val="20"/>
        </w:rPr>
      </w:pPr>
      <w:hyperlink r:id="rId104" w:anchor="_top" w:history="1">
        <w:r w:rsidR="00F0171B" w:rsidRPr="00001714">
          <w:rPr>
            <w:rFonts w:ascii="Arial" w:hAnsi="Arial" w:cs="Arial"/>
            <w:noProof/>
            <w:color w:val="0000FF"/>
            <w:sz w:val="20"/>
          </w:rPr>
          <w:drawing>
            <wp:inline distT="0" distB="0" distL="0" distR="0">
              <wp:extent cx="152400" cy="152400"/>
              <wp:effectExtent l="0" t="0" r="0" b="0"/>
              <wp:docPr id="101" name="Picture 101"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5" w:name="40:14.0.1.1.1.5.140.10"/>
      <w:bookmarkEnd w:id="15"/>
      <w:r w:rsidRPr="00001714">
        <w:rPr>
          <w:rFonts w:ascii="Arial" w:hAnsi="Arial" w:cs="Arial"/>
          <w:b/>
          <w:bCs/>
          <w:sz w:val="20"/>
        </w:rPr>
        <w:t xml:space="preserve">§63.7510 </w:t>
      </w:r>
      <w:proofErr w:type="gramStart"/>
      <w:r w:rsidRPr="00001714">
        <w:rPr>
          <w:rFonts w:ascii="Arial" w:hAnsi="Arial" w:cs="Arial"/>
          <w:b/>
          <w:bCs/>
          <w:sz w:val="20"/>
        </w:rPr>
        <w:t>What</w:t>
      </w:r>
      <w:proofErr w:type="gramEnd"/>
      <w:r w:rsidRPr="00001714">
        <w:rPr>
          <w:rFonts w:ascii="Arial" w:hAnsi="Arial" w:cs="Arial"/>
          <w:b/>
          <w:bCs/>
          <w:sz w:val="20"/>
        </w:rPr>
        <w:t xml:space="preserve"> are my initial compliance requirements and by what date must I conduct them?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For each boiler or process heater that is required or that you elect to demonstrate compliance with any of the applicable emission limits in Tables 1 or 2 or 11 through 13 of this subpart through performance testing, your initial compliance requirements include all the following: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Conduct performance tests according to §63.7520 and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fuel analysis for each type of fuel burned in your boiler or process heater according to §63.7521 and Table 6 to this subpart, except as specified in paragraphs (a</w:t>
      </w:r>
      <w:proofErr w:type="gramStart"/>
      <w:r w:rsidRPr="00001714">
        <w:rPr>
          <w:rFonts w:ascii="Arial" w:hAnsi="Arial" w:cs="Arial"/>
          <w:sz w:val="20"/>
        </w:rPr>
        <w:t>)(</w:t>
      </w:r>
      <w:proofErr w:type="gramEnd"/>
      <w:r w:rsidRPr="00001714">
        <w:rPr>
          <w:rFonts w:ascii="Arial" w:hAnsi="Arial" w:cs="Arial"/>
          <w:sz w:val="20"/>
        </w:rPr>
        <w:t>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boiler or process heater that burns a single type of fuel, you are not required to conduct a fuel analysis for each type of fuel burned in your boiler or process heater according to §63.7521 and Table 6 to this subpart. For purposes of this subpart, units that use a supplemental fuel only for startup, unit shutdown, and transient flame stability purposes still qualify as units that burn a single type of fuel, and the supplemental fuel is not subject to the fuel analysis requirements under §63.7521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When natural gas, refinery gas, or other gas 1 fuels are co-fired with other fuels, you are not required to conduct a fuel analysis of those fuels according to §63.7521 and Table 6 to this subpart. If gaseous fuels other than natural gas, refinery gas, or other gas 1 fuels are co-fired with other fuels and those gaseous fuels are subject to another subpart of this part, part 60, part 61, or part 65, you are not required to conduct a fuel analysis of those fuels according to §63.7521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are not required to conduct a chlorine fuel analysis for any gaseous fuels. You must conduct a fuel analysis for mercury on gaseous fuels unless the fuel is exempted in paragraphs (a</w:t>
      </w:r>
      <w:proofErr w:type="gramStart"/>
      <w:r w:rsidRPr="00001714">
        <w:rPr>
          <w:rFonts w:ascii="Arial" w:hAnsi="Arial" w:cs="Arial"/>
          <w:sz w:val="20"/>
        </w:rPr>
        <w:t>)(</w:t>
      </w:r>
      <w:proofErr w:type="gramEnd"/>
      <w:r w:rsidRPr="00001714">
        <w:rPr>
          <w:rFonts w:ascii="Arial" w:hAnsi="Arial" w:cs="Arial"/>
          <w:sz w:val="20"/>
        </w:rPr>
        <w:t>2)(i)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Establish operating limits according to §63.7530 and Table 7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Conduct CMS performance evaluations according to §63.7525.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boiler or process heater that you elect to demonstrate compliance with the applicable emission limits in Tables 1 or 2 or 11 through 13 to this subpart for HCl, mercury, or TSM through fuel analysis, your initial compliance requirement is to conduct a fuel analysis for each type of fuel burned in your boiler or process heater according to §63.7521 and Table 6 to this subpart and establish operating limits according to §63.7530 and Table 8 to this subpart. The fuels described in paragraph (a</w:t>
      </w:r>
      <w:proofErr w:type="gramStart"/>
      <w:r w:rsidRPr="00001714">
        <w:rPr>
          <w:rFonts w:ascii="Arial" w:hAnsi="Arial" w:cs="Arial"/>
          <w:sz w:val="20"/>
        </w:rPr>
        <w:t>)(</w:t>
      </w:r>
      <w:proofErr w:type="gramEnd"/>
      <w:r w:rsidRPr="00001714">
        <w:rPr>
          <w:rFonts w:ascii="Arial" w:hAnsi="Arial" w:cs="Arial"/>
          <w:sz w:val="20"/>
        </w:rPr>
        <w:t>2)(i) and (ii) of this section are exempt from these fuel analysis and operating limit requirements. The fuels described in paragraph (a</w:t>
      </w:r>
      <w:proofErr w:type="gramStart"/>
      <w:r w:rsidRPr="00001714">
        <w:rPr>
          <w:rFonts w:ascii="Arial" w:hAnsi="Arial" w:cs="Arial"/>
          <w:sz w:val="20"/>
        </w:rPr>
        <w:t>)(</w:t>
      </w:r>
      <w:proofErr w:type="gramEnd"/>
      <w:r w:rsidRPr="00001714">
        <w:rPr>
          <w:rFonts w:ascii="Arial" w:hAnsi="Arial" w:cs="Arial"/>
          <w:sz w:val="20"/>
        </w:rPr>
        <w:t>2)(ii) of this section are exempt from the chloride fuel analysis and operating limit requirements. Boilers and process heaters that use a CEMS for mercury or HCl are exempt from the performance testing and operating limit requirements specified in paragraph (a) of this section for the HAP for which CEMS are used.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(c) If your boiler or process heater is subject to a carbon monoxide (CO) limit, your initial compliance demonstration for CO is to conduct a performance test for CO according to Table 5 to this subpart or conduct a performance evaluation of your continuous CO monitor, if applicable, according to §63.7525(a). Boilers and process heaters that use a CO CEMS to comply with the applicable alternative CO CEMS emission standard listed </w:t>
      </w:r>
      <w:r w:rsidRPr="00001714">
        <w:rPr>
          <w:rFonts w:ascii="Arial" w:hAnsi="Arial" w:cs="Arial"/>
          <w:sz w:val="20"/>
        </w:rPr>
        <w:lastRenderedPageBreak/>
        <w:t>in Tables 12, or 11 through 13 to this subpart, as specified in §63.7525(a), are exempt from the initial CO performance testing and oxygen concentration operating limit requirements specified in paragraph (a)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your boiler or process heater is subject to a PM limit, your initial compliance demonstration for PM is to conduct a performance test in accordance with §63.7520 and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For existing affected sources (as defined in §63.7490), you must complete the initial compliance demonstration, as specified in paragraphs (a) through (d) of this section, no later than 180 days after the compliance date that is specified for your source in §63.7495 and according to the applicable provisions in §63.7(a</w:t>
      </w:r>
      <w:proofErr w:type="gramStart"/>
      <w:r w:rsidRPr="00001714">
        <w:rPr>
          <w:rFonts w:ascii="Arial" w:hAnsi="Arial" w:cs="Arial"/>
          <w:sz w:val="20"/>
        </w:rPr>
        <w:t>)(</w:t>
      </w:r>
      <w:proofErr w:type="gramEnd"/>
      <w:r w:rsidRPr="00001714">
        <w:rPr>
          <w:rFonts w:ascii="Arial" w:hAnsi="Arial" w:cs="Arial"/>
          <w:sz w:val="20"/>
        </w:rPr>
        <w:t>2) as cited in Table 10 to this subpart, except as specified in paragraph (j) of this section. You must complete an initial tune-up by following the procedures described in §63.7540(a</w:t>
      </w:r>
      <w:proofErr w:type="gramStart"/>
      <w:r w:rsidRPr="00001714">
        <w:rPr>
          <w:rFonts w:ascii="Arial" w:hAnsi="Arial" w:cs="Arial"/>
          <w:sz w:val="20"/>
        </w:rPr>
        <w:t>)(</w:t>
      </w:r>
      <w:proofErr w:type="gramEnd"/>
      <w:r w:rsidRPr="00001714">
        <w:rPr>
          <w:rFonts w:ascii="Arial" w:hAnsi="Arial" w:cs="Arial"/>
          <w:sz w:val="20"/>
        </w:rPr>
        <w:t>10)(i) through (vi) no later than the compliance date specified in §63.7495, except as specified in paragraph (j) of this section. You must complete the one-time energy assessment specified in Table 3 to this subpart no later than the compliance date specified in §63.7495, except as specified in paragraph (j)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For new or reconstructed affected sources (as defined in §63.7490), you must complete the initial compliance demonstration with the emission limits no later than July 30, 2013 or within 180 days after startup of the source, whichever is later. If you are demonstrating compliance with an emission limit in Tables 11 through 13 to this subpart that is less stringent (that is, higher) than the applicable emission limit in Table 1 to this subpart, you must demonstrate compliance with the applicable emission limit in Table 1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For new or reconstructed affected sources (as defined in §63.7490), you must demonstrate initial compliance with the applicable work practice standards in Table 3 to this subpart within the applicable annual, biennial, or 5-year schedule as specified in §63.7540(a) following the initial compliance date specified in §63.7495(a). Thereafter, you are required to complete the applicable annual, biennial, or 5-year tune-up as specified in §63.7540(a).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For affected sources (as defined in §63.7490) that ceased burning solid waste consistent with §63.7495(e) and for which the initial compliance date has passed, you must demonstrate compliance within 60 days of the effective date of the waste-to-fuel switch. If you have not conducted your compliance demonstration for this subpart within the previous 12 months, you must complete all compliance demonstrations for this subpart before you commence or recommence combustion of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an existing EGU that becomes subject after January 31, 2013, you must demonstrate compliance within 180 days after becoming an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For existing affected sources (as defined in §63.7490) that have not operated between the effective date of the rule and the compliance date that is specified for your source in §63.7495, you must complete the initial compliance demonstration, if subject to the emission limits in Table 2 to this subpart, as specified in paragraphs (a) through (d) of this section, no later than 180 days after the re-start of the affected source and according to the applicable provisions in §63.7(a)(2) as cited in Table 10 to this subpart. You must complete an initial tune-up by following the procedures described in §63.7540(a)(10)(i) through (vi) no later than 30 days after the re-start of the affected source and, if applicable, complete the one-time energy assessment specified in Table 3 to this subpart, no later than the compliance date specified in §63.7495.</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7164, Jan. 31, 2013]</w:t>
      </w:r>
    </w:p>
    <w:p w:rsidR="00F0171B" w:rsidRPr="00001714" w:rsidRDefault="0036167B" w:rsidP="00F0171B">
      <w:pPr>
        <w:spacing w:before="200" w:after="100" w:afterAutospacing="1"/>
        <w:rPr>
          <w:rFonts w:ascii="Arial" w:hAnsi="Arial" w:cs="Arial"/>
          <w:sz w:val="20"/>
        </w:rPr>
      </w:pPr>
      <w:hyperlink r:id="rId105" w:anchor="_top" w:history="1">
        <w:r w:rsidR="00F0171B" w:rsidRPr="00001714">
          <w:rPr>
            <w:rFonts w:ascii="Arial" w:hAnsi="Arial" w:cs="Arial"/>
            <w:noProof/>
            <w:color w:val="0000FF"/>
            <w:sz w:val="20"/>
          </w:rPr>
          <w:drawing>
            <wp:inline distT="0" distB="0" distL="0" distR="0">
              <wp:extent cx="152400" cy="152400"/>
              <wp:effectExtent l="0" t="0" r="0" b="0"/>
              <wp:docPr id="100" name="Picture 100"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6" w:name="40:14.0.1.1.1.5.140.11"/>
      <w:bookmarkEnd w:id="16"/>
      <w:r w:rsidRPr="00001714">
        <w:rPr>
          <w:rFonts w:ascii="Arial" w:hAnsi="Arial" w:cs="Arial"/>
          <w:b/>
          <w:bCs/>
          <w:sz w:val="20"/>
        </w:rPr>
        <w:t xml:space="preserve">§63.7515 </w:t>
      </w:r>
      <w:proofErr w:type="gramStart"/>
      <w:r w:rsidRPr="00001714">
        <w:rPr>
          <w:rFonts w:ascii="Arial" w:hAnsi="Arial" w:cs="Arial"/>
          <w:b/>
          <w:bCs/>
          <w:sz w:val="20"/>
        </w:rPr>
        <w:t>When</w:t>
      </w:r>
      <w:proofErr w:type="gramEnd"/>
      <w:r w:rsidRPr="00001714">
        <w:rPr>
          <w:rFonts w:ascii="Arial" w:hAnsi="Arial" w:cs="Arial"/>
          <w:b/>
          <w:bCs/>
          <w:sz w:val="20"/>
        </w:rPr>
        <w:t xml:space="preserve"> must I conduct subsequent performance tests, fuel analyses, or tune-ups?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(a) You must conduct all applicable performance tests according to §63.7520 on an annual basis, except as specified in paragraphs (b) through (e), (g), and (h) of this section. Annual performance tests must be completed no more than 13 months after the previous performance test, except as specified in paragraphs (b) through (e), (g), and (h)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your performance tests for a given pollutant for at least 2 consecutive years show that your emissions are at or below 75 percent of the emission limit (or, in limited instances as specified in Tables 1 and 2 or 11 through 13 to this subpart, at or below the emission limit) for the pollutant, and if there are no changes in the operation of the individual boiler or process heater or air pollution control equipment that could increase emissions, you may choose to conduct performance tests for the pollutant every third year. Each such performance test must be conducted no more than 37 months after the previous performance test. If you elect to demonstrate compliance using emission averaging under §63.7522, you must continue to conduct performance tests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a performance test shows emissions exceeded the emission limit or 75 percent of the emission limit (as specified in Tables 1 and 2 or 11 through 13 to this subpart) for a pollutant, you must conduct annual performance tests for that pollutant until all performance tests over a consecutive 2-year period meet the required level (at or below 75 percent of the emission limit, as specified in Tables 1 and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are required to meet an applicable tune-up work practice standard, you must conduct an annual, biennial, or 5-year performance tune-up according to §63.7540(a</w:t>
      </w:r>
      <w:proofErr w:type="gramStart"/>
      <w:r w:rsidRPr="00001714">
        <w:rPr>
          <w:rFonts w:ascii="Arial" w:hAnsi="Arial" w:cs="Arial"/>
          <w:sz w:val="20"/>
        </w:rPr>
        <w:t>)(</w:t>
      </w:r>
      <w:proofErr w:type="gramEnd"/>
      <w:r w:rsidRPr="00001714">
        <w:rPr>
          <w:rFonts w:ascii="Arial" w:hAnsi="Arial" w:cs="Arial"/>
          <w:sz w:val="20"/>
        </w:rPr>
        <w:t>10), (11), or (12), respectively. Each annual tune-up specified in §63.7540(a</w:t>
      </w:r>
      <w:proofErr w:type="gramStart"/>
      <w:r w:rsidRPr="00001714">
        <w:rPr>
          <w:rFonts w:ascii="Arial" w:hAnsi="Arial" w:cs="Arial"/>
          <w:sz w:val="20"/>
        </w:rPr>
        <w:t>)(</w:t>
      </w:r>
      <w:proofErr w:type="gramEnd"/>
      <w:r w:rsidRPr="00001714">
        <w:rPr>
          <w:rFonts w:ascii="Arial" w:hAnsi="Arial" w:cs="Arial"/>
          <w:sz w:val="20"/>
        </w:rPr>
        <w:t>10) must be no more than 13 months after the previous tune-up. Each biennial tune-up specified in §63.7540(a</w:t>
      </w:r>
      <w:proofErr w:type="gramStart"/>
      <w:r w:rsidRPr="00001714">
        <w:rPr>
          <w:rFonts w:ascii="Arial" w:hAnsi="Arial" w:cs="Arial"/>
          <w:sz w:val="20"/>
        </w:rPr>
        <w:t>)(</w:t>
      </w:r>
      <w:proofErr w:type="gramEnd"/>
      <w:r w:rsidRPr="00001714">
        <w:rPr>
          <w:rFonts w:ascii="Arial" w:hAnsi="Arial" w:cs="Arial"/>
          <w:sz w:val="20"/>
        </w:rPr>
        <w:t>11) must be conducted no more than 25 months after the previous tune-up. Each 5-year tune-up specified in §63.7540(a</w:t>
      </w:r>
      <w:proofErr w:type="gramStart"/>
      <w:r w:rsidRPr="00001714">
        <w:rPr>
          <w:rFonts w:ascii="Arial" w:hAnsi="Arial" w:cs="Arial"/>
          <w:sz w:val="20"/>
        </w:rPr>
        <w:t>)(</w:t>
      </w:r>
      <w:proofErr w:type="gramEnd"/>
      <w:r w:rsidRPr="00001714">
        <w:rPr>
          <w:rFonts w:ascii="Arial" w:hAnsi="Arial" w:cs="Arial"/>
          <w:sz w:val="20"/>
        </w:rPr>
        <w:t>12) must be conducted no more than 61 months after the previous tune-up. For a new or reconstructed affected source (as defined in §63.7490), the first annual, biennial, or 5-year tune-up must be no later than 13 months, 25 months, or 61 months, respectively, after the initial startup of the new or reconstructed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demonstrate compliance with the mercury, HCl, or TSM based on fuel analysis, you must conduct a monthly fuel analysis according to §63.7521 for each type of fuel burned that is subject to an emission limit in Tables 1, 2, or 11 through 13 to this subpart. You may comply with this monthly requirement by completing the fuel analysis any time within the calendar month as long as the analysis is separated from the previous analysis by at least 14 calendar days. If you burn a new type of fuel, you must conduct a fuel analysis before burning the new type of fuel in your boiler or process heater. You must still meet all applicable continuous compliance requirements in §63.7540. If each of 12 consecutive monthly fuel analyses demonstrates 75 percent or less of the compliance level, you may decrease the fuel analysis frequency to quarterly for that fuel. If any quarterly sample exceeds 75 percent of the compliance level or you begin burning a new type of fuel, you must return to monthly monitoring for that fuel, until 12 months of fuel analyses are again less than 75 percent of the compliance level.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§63.7530 and Table 7 to this subpart, as applicable. The reports for all subsequent performance tests must include all applicable information required in §63.7550.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1, 2, or 11 through 13 to this subpart, no later than 180 days after the re-start of the affected source and according to the applicable provisions in §63.7(a)(2) as cited in Table 10 to this subpart. You must complete a subsequent tune-up by following the procedures described in §63.7540(a</w:t>
      </w:r>
      <w:proofErr w:type="gramStart"/>
      <w:r w:rsidRPr="00001714">
        <w:rPr>
          <w:rFonts w:ascii="Arial" w:hAnsi="Arial" w:cs="Arial"/>
          <w:sz w:val="20"/>
        </w:rPr>
        <w:t>)(</w:t>
      </w:r>
      <w:proofErr w:type="gramEnd"/>
      <w:r w:rsidRPr="00001714">
        <w:rPr>
          <w:rFonts w:ascii="Arial" w:hAnsi="Arial" w:cs="Arial"/>
          <w:sz w:val="20"/>
        </w:rPr>
        <w:t>10)(i) through (vi) and the schedule described in §63.7540(a)(13) for units that are not operating at the time of their scheduled tune-up.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(h) If your affected boiler or process heater is in the unit designed to burn light liquid subcategory and you combust ultra low sulfur liquid fuel, you do not need to conduct further performance tests if the pollutants measured during the initial compliance performance tests meet the emission limits in Tables 1 or 2 of this subpart providing you demonstrate ongoing compliance with the emissions limits by monitoring and recording the type of fuel combusted on a monthly basis. If you intend to use a fuel other than ultra low sulfur liquid fuel, natural gas, refinery gas, or other gas 1 fuel, you must conduct new performance tests within 60 days of burning the new fuel type.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operate a CO CEMS that meets the Performance Specifications outlined in §63.7525(a</w:t>
      </w:r>
      <w:proofErr w:type="gramStart"/>
      <w:r w:rsidRPr="00001714">
        <w:rPr>
          <w:rFonts w:ascii="Arial" w:hAnsi="Arial" w:cs="Arial"/>
          <w:sz w:val="20"/>
        </w:rPr>
        <w:t>)(</w:t>
      </w:r>
      <w:proofErr w:type="gramEnd"/>
      <w:r w:rsidRPr="00001714">
        <w:rPr>
          <w:rFonts w:ascii="Arial" w:hAnsi="Arial" w:cs="Arial"/>
          <w:sz w:val="20"/>
        </w:rPr>
        <w:t>3) of this subpart to demonstrate compliance with the applicable alternative CO CEMS emission standard listed in Tables 1, 2, or 11 through 13 to this subpart, you are not required to conduct CO performance tests and are not subject to the oxygen concentration operating limit requirement specified in §63.7510(a).</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7165, Jan. 31, 2013]</w:t>
      </w:r>
    </w:p>
    <w:p w:rsidR="00F0171B" w:rsidRPr="00001714" w:rsidRDefault="0036167B" w:rsidP="00F0171B">
      <w:pPr>
        <w:spacing w:before="200" w:after="100" w:afterAutospacing="1"/>
        <w:rPr>
          <w:rFonts w:ascii="Arial" w:hAnsi="Arial" w:cs="Arial"/>
          <w:sz w:val="20"/>
        </w:rPr>
      </w:pPr>
      <w:hyperlink r:id="rId106" w:anchor="_top" w:history="1">
        <w:r w:rsidR="00F0171B" w:rsidRPr="00001714">
          <w:rPr>
            <w:rFonts w:ascii="Arial" w:hAnsi="Arial" w:cs="Arial"/>
            <w:noProof/>
            <w:color w:val="0000FF"/>
            <w:sz w:val="20"/>
          </w:rPr>
          <w:drawing>
            <wp:inline distT="0" distB="0" distL="0" distR="0">
              <wp:extent cx="152400" cy="152400"/>
              <wp:effectExtent l="0" t="0" r="0" b="0"/>
              <wp:docPr id="99" name="Picture 9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7" w:name="40:14.0.1.1.1.5.140.12"/>
      <w:bookmarkEnd w:id="17"/>
      <w:r w:rsidRPr="00001714">
        <w:rPr>
          <w:rFonts w:ascii="Arial" w:hAnsi="Arial" w:cs="Arial"/>
          <w:b/>
          <w:bCs/>
          <w:sz w:val="20"/>
        </w:rPr>
        <w:t xml:space="preserve">§63.7520 </w:t>
      </w:r>
      <w:proofErr w:type="gramStart"/>
      <w:r w:rsidRPr="00001714">
        <w:rPr>
          <w:rFonts w:ascii="Arial" w:hAnsi="Arial" w:cs="Arial"/>
          <w:b/>
          <w:bCs/>
          <w:sz w:val="20"/>
        </w:rPr>
        <w:t>What</w:t>
      </w:r>
      <w:proofErr w:type="gramEnd"/>
      <w:r w:rsidRPr="00001714">
        <w:rPr>
          <w:rFonts w:ascii="Arial" w:hAnsi="Arial" w:cs="Arial"/>
          <w:b/>
          <w:bCs/>
          <w:sz w:val="20"/>
        </w:rPr>
        <w:t xml:space="preserve"> stack tests and procedures must I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conduct all performance tests according to §63.7(c), (d), (f), and (h). You must also develop a site-specific stack test plan according to the requirements in §63.7(c). You shall conduct all performance tests under such conditions as the Administrator specifies to you based on the representative performance of each boiler or process heater for the period being tested. Upon request, you shall make available to the Administrator such records as may be necessary to determine the conditions of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conduct each performance test according to the requirements in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conduct each performance test under the specific conditions listed in Tables 5 and 7 to this subpart. You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conduct a minimum of three separate test runs for each performance test required in this section, as specified in §63.7(e)(3). Each test run must comply with the minimum applicable sampling times or volumes specified in Tables 1 and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To determine compliance with the emission limits, you must use the F-Factor methodology and equations in sections 12.2 and 12.3 of EPA Method 19 at 40 CFR part 60, appendix A-7 of this chapter to convert the measured particulate matter (PM) concentrations, the measured HCl concentrations, the measured mercury concentrations, and the measured TSM concentrations that result from the performance test to pounds per million Btu heat input emission rates.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lastRenderedPageBreak/>
        <w:t>[76 FR 15664, Mar. 21, 2011, as amended at 78 FR 7166, Jan. 31, 2013]</w:t>
      </w:r>
    </w:p>
    <w:p w:rsidR="00F0171B" w:rsidRPr="00001714" w:rsidRDefault="0036167B" w:rsidP="00F0171B">
      <w:pPr>
        <w:spacing w:before="200" w:after="100" w:afterAutospacing="1"/>
        <w:rPr>
          <w:rFonts w:ascii="Arial" w:hAnsi="Arial" w:cs="Arial"/>
          <w:sz w:val="20"/>
        </w:rPr>
      </w:pPr>
      <w:hyperlink r:id="rId107" w:anchor="_top" w:history="1">
        <w:r w:rsidR="00F0171B" w:rsidRPr="00001714">
          <w:rPr>
            <w:rFonts w:ascii="Arial" w:hAnsi="Arial" w:cs="Arial"/>
            <w:noProof/>
            <w:color w:val="0000FF"/>
            <w:sz w:val="20"/>
          </w:rPr>
          <w:drawing>
            <wp:inline distT="0" distB="0" distL="0" distR="0">
              <wp:extent cx="152400" cy="152400"/>
              <wp:effectExtent l="0" t="0" r="0" b="0"/>
              <wp:docPr id="98" name="Picture 98"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8" w:name="40:14.0.1.1.1.5.140.13"/>
      <w:bookmarkEnd w:id="18"/>
      <w:r w:rsidRPr="00001714">
        <w:rPr>
          <w:rFonts w:ascii="Arial" w:hAnsi="Arial" w:cs="Arial"/>
          <w:b/>
          <w:bCs/>
          <w:sz w:val="20"/>
        </w:rPr>
        <w:t xml:space="preserve">§63.7521 </w:t>
      </w:r>
      <w:proofErr w:type="gramStart"/>
      <w:r w:rsidRPr="00001714">
        <w:rPr>
          <w:rFonts w:ascii="Arial" w:hAnsi="Arial" w:cs="Arial"/>
          <w:b/>
          <w:bCs/>
          <w:sz w:val="20"/>
        </w:rPr>
        <w:t>What</w:t>
      </w:r>
      <w:proofErr w:type="gramEnd"/>
      <w:r w:rsidRPr="00001714">
        <w:rPr>
          <w:rFonts w:ascii="Arial" w:hAnsi="Arial" w:cs="Arial"/>
          <w:b/>
          <w:bCs/>
          <w:sz w:val="20"/>
        </w:rPr>
        <w:t xml:space="preserve"> fuel analyses, fuel specification, and procedures must I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For solid and liquid fuels, you must conduct fuel analyses for chloride and mercury according to the procedures in paragraphs (b) through (e) of this section and Table 6 to this subpart, as applicable. For solid fuels and liquid fuels, you must also conduct fuel analyses for TSM if you are opting to comply with the TSM alternative standard. For gas 2 (other) fuels, you must conduct fuel analyses for mercury according to the procedures in paragraphs (b) through (e) of this section and Table 6 to this subpart, as applicable. (For gaseous fuels, you may not use fuel analyses to comply with the TSM alternative standard or the HCl standard.) For purposes of complying with this section, a fuel gas system that consists of multiple gaseous fuels collected and mixed with each other is considered a single fuel type and sampling and analysis is only required on the combined fuel gas system that will feed the boiler or process heater. Sampling and analysis of the individual gaseous streams prior to combining is not required. You are not required to conduct fuel analyses for fuels used for only startup, unit shutdown, and transient flame stability purposes. You are required to conduct fuel analyses only for fuels and units that are subject to emission limits for mercury, HCl, or TSM in Tables 1 and 2 or 11 through 13 to this subpart. Gaseous and liquid fuels are exempt from the sampling requirements in paragraphs (c) and (d) of this section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develop a site-specific fuel monitoring plan according to the following procedures and requirements in paragraphs (b)(1) and (2) of this section, if you are required to conduct fuel analyses as specified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(b</w:t>
      </w:r>
      <w:proofErr w:type="gramStart"/>
      <w:r w:rsidRPr="00001714">
        <w:rPr>
          <w:rFonts w:ascii="Arial" w:hAnsi="Arial" w:cs="Arial"/>
          <w:sz w:val="20"/>
        </w:rPr>
        <w:t>)(</w:t>
      </w:r>
      <w:proofErr w:type="gramEnd"/>
      <w:r w:rsidRPr="00001714">
        <w:rPr>
          <w:rFonts w:ascii="Arial" w:hAnsi="Arial" w:cs="Arial"/>
          <w:sz w:val="20"/>
        </w:rPr>
        <w:t>2)(i) through (vi) of this section in your fuel analysis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fuel types anticipated to be burned in each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anticipated fuel type, the notification of whether you or a fuel supplier will be conducting the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For</w:t>
      </w:r>
      <w:proofErr w:type="gramEnd"/>
      <w:r w:rsidRPr="00001714">
        <w:rPr>
          <w:rFonts w:ascii="Arial" w:hAnsi="Arial" w:cs="Arial"/>
          <w:sz w:val="20"/>
        </w:rPr>
        <w:t xml:space="preserve"> each anticipated fuel type, the analytical methods from Table 6, with the expected minimum detection levels, to be used for the measurement of chlorine or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If</w:t>
      </w:r>
      <w:proofErr w:type="gramEnd"/>
      <w:r w:rsidRPr="00001714">
        <w:rPr>
          <w:rFonts w:ascii="Arial" w:hAnsi="Arial" w:cs="Arial"/>
          <w:sz w:val="20"/>
        </w:rPr>
        <w:t xml:space="preserve"> you will be using fuel analysis from a fuel supplier in lieu of site-specific sampling and analysis, the fuel supplier must use the analytical methods required by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(c) At a minimum, you must obtain three composite fuel samples for each fuel type according to the procedures in paragraph (c</w:t>
      </w:r>
      <w:proofErr w:type="gramStart"/>
      <w:r w:rsidRPr="00001714">
        <w:rPr>
          <w:rFonts w:ascii="Arial" w:hAnsi="Arial" w:cs="Arial"/>
          <w:sz w:val="20"/>
        </w:rPr>
        <w:t>)(</w:t>
      </w:r>
      <w:proofErr w:type="gramEnd"/>
      <w:r w:rsidRPr="00001714">
        <w:rPr>
          <w:rFonts w:ascii="Arial" w:hAnsi="Arial" w:cs="Arial"/>
          <w:sz w:val="20"/>
        </w:rPr>
        <w:t>1) or (2) of this section, or the methods listed in Table 6 to this subpart, or use an automated sampling mechanism that provides representative composite fuel samples for each fuel type that includes both coarse and fine material.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sampling from a belt (or screw) feeder, collect fuel samples according to paragraphs (c</w:t>
      </w:r>
      <w:proofErr w:type="gramStart"/>
      <w:r w:rsidRPr="00001714">
        <w:rPr>
          <w:rFonts w:ascii="Arial" w:hAnsi="Arial" w:cs="Arial"/>
          <w:sz w:val="20"/>
        </w:rPr>
        <w:t>)(</w:t>
      </w:r>
      <w:proofErr w:type="gramEnd"/>
      <w:r w:rsidRPr="00001714">
        <w:rPr>
          <w:rFonts w:ascii="Arial" w:hAnsi="Arial" w:cs="Arial"/>
          <w:sz w:val="20"/>
        </w:rPr>
        <w:t>1)(i)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 Stop the belt and withdraw a 6-inch wide sample from the full cross-section of the stopped belt to obtain a minimum two pounds of sample. You must collect all the material (fines and </w:t>
      </w:r>
      <w:proofErr w:type="gramStart"/>
      <w:r w:rsidRPr="00001714">
        <w:rPr>
          <w:rFonts w:ascii="Arial" w:hAnsi="Arial" w:cs="Arial"/>
          <w:sz w:val="20"/>
        </w:rPr>
        <w:t>coarse</w:t>
      </w:r>
      <w:proofErr w:type="gramEnd"/>
      <w:r w:rsidRPr="00001714">
        <w:rPr>
          <w:rFonts w:ascii="Arial" w:hAnsi="Arial" w:cs="Arial"/>
          <w:sz w:val="20"/>
        </w:rPr>
        <w:t>) in the full cross-section. You must transfer the sample to a clean plastic bag.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Each composite sample will consist of a minimum of three samples collected at approximately equal one-hour intervals during the testing period for sampling during performance stack testing. For monthly sampling, each composite sample shall be collected at approximately equal 10-day intervals during the month.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sampling from a fuel pile or truck, you must collect fuel samples according to paragraphs (c</w:t>
      </w:r>
      <w:proofErr w:type="gramStart"/>
      <w:r w:rsidRPr="00001714">
        <w:rPr>
          <w:rFonts w:ascii="Arial" w:hAnsi="Arial" w:cs="Arial"/>
          <w:sz w:val="20"/>
        </w:rPr>
        <w:t>)(</w:t>
      </w:r>
      <w:proofErr w:type="gramEnd"/>
      <w:r w:rsidRPr="00001714">
        <w:rPr>
          <w:rFonts w:ascii="Arial" w:hAnsi="Arial" w:cs="Arial"/>
          <w:sz w:val="20"/>
        </w:rPr>
        <w:t>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composite sample, you must select a minimum of five sampling locations uniformly spaced over the surface of the pile.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At each sampling site, you must dig into the pile to a uniform depth of approximately 18 inches. You must insert a clean shovel into the hole and withdraw a sample, making sure that large pieces do not fall off during sampling; use the same shovel to collect all samples.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transfer all samples to a clean plastic bag for further processing.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prepare each composite sample according to the procedures in paragraphs (d</w:t>
      </w:r>
      <w:proofErr w:type="gramStart"/>
      <w:r w:rsidRPr="00001714">
        <w:rPr>
          <w:rFonts w:ascii="Arial" w:hAnsi="Arial" w:cs="Arial"/>
          <w:sz w:val="20"/>
        </w:rPr>
        <w:t>)(</w:t>
      </w:r>
      <w:proofErr w:type="gramEnd"/>
      <w:r w:rsidRPr="00001714">
        <w:rPr>
          <w:rFonts w:ascii="Arial" w:hAnsi="Arial" w:cs="Arial"/>
          <w:sz w:val="20"/>
        </w:rPr>
        <w:t>1) through (7)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thoroughly mix and pour the entire composite sample over a clean plastic sheet.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break large sample pieces (e.g., larger than 3 inches) into smaller sizes.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make a pie shape with the entire composite sample and subdivide it into four equal parts.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separate one of the quarter samples as the first subset.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If this subset is too large for grinding, you must repeat the procedure in paragraph (d</w:t>
      </w:r>
      <w:proofErr w:type="gramStart"/>
      <w:r w:rsidRPr="00001714">
        <w:rPr>
          <w:rFonts w:ascii="Arial" w:hAnsi="Arial" w:cs="Arial"/>
          <w:sz w:val="20"/>
        </w:rPr>
        <w:t>)(</w:t>
      </w:r>
      <w:proofErr w:type="gramEnd"/>
      <w:r w:rsidRPr="00001714">
        <w:rPr>
          <w:rFonts w:ascii="Arial" w:hAnsi="Arial" w:cs="Arial"/>
          <w:sz w:val="20"/>
        </w:rPr>
        <w:t>3) of this section with the quarter sample and obtain a one-quarter subset from this sample.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You must grind the sample in a mill.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You must use the procedure in paragraph (d</w:t>
      </w:r>
      <w:proofErr w:type="gramStart"/>
      <w:r w:rsidRPr="00001714">
        <w:rPr>
          <w:rFonts w:ascii="Arial" w:hAnsi="Arial" w:cs="Arial"/>
          <w:sz w:val="20"/>
        </w:rPr>
        <w:t>)(</w:t>
      </w:r>
      <w:proofErr w:type="gramEnd"/>
      <w:r w:rsidRPr="00001714">
        <w:rPr>
          <w:rFonts w:ascii="Arial" w:hAnsi="Arial" w:cs="Arial"/>
          <w:sz w:val="20"/>
        </w:rPr>
        <w:t>3) of this section to obtain a one-quarter subsample for analysis. If the quarter sample is too large, subdivide it further using the same procedure.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determine the concentration of pollutants in the fuel (mercury and/or chlorine and/or TSM) in units of pounds per million Btu of each composite sample for each fuel type according to the procedures in Table 6 to this subpart, for use in Equations 7, 8, and 9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(f) To demonstrate that a gaseous fuel other than natural gas or refinery gas qualifies as an other gas 1 fuel, as defined in §63.7575, you must conduct a fuel specification analyses for mercury according to the procedures in paragraphs (g) through (i) of this section and Table 6 to this subpart, as applicable, except as specified in paragraph (f</w:t>
      </w:r>
      <w:proofErr w:type="gramStart"/>
      <w:r w:rsidRPr="00001714">
        <w:rPr>
          <w:rFonts w:ascii="Arial" w:hAnsi="Arial" w:cs="Arial"/>
          <w:sz w:val="20"/>
        </w:rPr>
        <w:t>)(</w:t>
      </w:r>
      <w:proofErr w:type="gramEnd"/>
      <w:r w:rsidRPr="00001714">
        <w:rPr>
          <w:rFonts w:ascii="Arial" w:hAnsi="Arial" w:cs="Arial"/>
          <w:sz w:val="20"/>
        </w:rPr>
        <w:t>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are not required to conduct the fuel specification analyses in paragraphs (g) through (i) of this section for natural gas or refinery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are not required to conduct the fuel specification analyses in paragraphs (g) through (i) of this section for gaseous fuels that are subject to another subpart of this part, part 60, part 61, or part 65.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are not required to conduct the fuel specification analyses in paragraphs (g) through (i) of this section on gaseous fuels for units that are complying with the limits for units designed to burn gas 2 (other)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are not required to conduct the fuel specification analyses in paragraphs (g) through (i) of this section for gas streams directly derived from natural gas at natural gas production sites or natural gas plants.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You must develop and submit a site-specific fuel analysis plan for other gas 1 fuels to the EPA Administrator for review and approval according to the following procedures and requirements in paragraphs (g</w:t>
      </w:r>
      <w:proofErr w:type="gramStart"/>
      <w:r w:rsidRPr="00001714">
        <w:rPr>
          <w:rFonts w:ascii="Arial" w:hAnsi="Arial" w:cs="Arial"/>
          <w:sz w:val="20"/>
        </w:rPr>
        <w:t>)(</w:t>
      </w:r>
      <w:proofErr w:type="gramEnd"/>
      <w:r w:rsidRPr="00001714">
        <w:rPr>
          <w:rFonts w:ascii="Arial" w:hAnsi="Arial" w:cs="Arial"/>
          <w:sz w:val="20"/>
        </w:rPr>
        <w:t>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(g</w:t>
      </w:r>
      <w:proofErr w:type="gramStart"/>
      <w:r w:rsidRPr="00001714">
        <w:rPr>
          <w:rFonts w:ascii="Arial" w:hAnsi="Arial" w:cs="Arial"/>
          <w:sz w:val="20"/>
        </w:rPr>
        <w:t>)(</w:t>
      </w:r>
      <w:proofErr w:type="gramEnd"/>
      <w:r w:rsidRPr="00001714">
        <w:rPr>
          <w:rFonts w:ascii="Arial" w:hAnsi="Arial" w:cs="Arial"/>
          <w:sz w:val="20"/>
        </w:rPr>
        <w:t>2)(i) through (vi) of this section in your fuel analysis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gaseous fuel types other than those exempted from fuel specification analysis under (f</w:t>
      </w:r>
      <w:proofErr w:type="gramStart"/>
      <w:r w:rsidRPr="00001714">
        <w:rPr>
          <w:rFonts w:ascii="Arial" w:hAnsi="Arial" w:cs="Arial"/>
          <w:sz w:val="20"/>
        </w:rPr>
        <w:t>)(</w:t>
      </w:r>
      <w:proofErr w:type="gramEnd"/>
      <w:r w:rsidRPr="00001714">
        <w:rPr>
          <w:rFonts w:ascii="Arial" w:hAnsi="Arial" w:cs="Arial"/>
          <w:sz w:val="20"/>
        </w:rPr>
        <w:t>1) through (3) of this section anticipated to be burned in each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anticipated fuel type, the notification of whether you or a fuel supplier will be conducting the fuel specification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each anticipated fuel type, a detailed description of the sample location and specific procedures to be used for collecting and preparing the samples if your procedures are different from the sampling methods contained in Table 6 to this subpart. Samples should be collected at a location that most accurately represents the fuel type, where possible, at a point prior to mixing with other dissimilar fuel types. If multiple boilers or process heaters are fueled by a common fuel stream it is permissible to conduct a single gas specification at the common point of gas distribution.</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For</w:t>
      </w:r>
      <w:proofErr w:type="gramEnd"/>
      <w:r w:rsidRPr="00001714">
        <w:rPr>
          <w:rFonts w:ascii="Arial" w:hAnsi="Arial" w:cs="Arial"/>
          <w:sz w:val="20"/>
        </w:rPr>
        <w:t xml:space="preserve"> each anticipated fuel type, the analytical methods from Table 6 to this subpart, with the expected minimum detection levels, to be used for the measurement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request to use an alternative analytical method other than those required by Table 6 to this subpart, you must also include a detailed description of the methods and procedures that you are proposing to use. Methods in Table 6 to this subpart shall be used until the requested alternative is approved.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If</w:t>
      </w:r>
      <w:proofErr w:type="gramEnd"/>
      <w:r w:rsidRPr="00001714">
        <w:rPr>
          <w:rFonts w:ascii="Arial" w:hAnsi="Arial" w:cs="Arial"/>
          <w:sz w:val="20"/>
        </w:rPr>
        <w:t xml:space="preserve"> you will be using fuel analysis from a fuel supplier in lieu of site-specific sampling and analysis, the fuel supplier must use the analytical methods required by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(h) You must obtain a single fuel sample for each fuel type according to the sampling procedures listed in Table 6 for fuel specification of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concentration in the fuel of mercury, in units of microgram per cubic meter, dry basis, of each sample for each other gas 1 fuel type according to the procedures in Table 6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7167, Jan. 31, 2013]</w:t>
      </w:r>
    </w:p>
    <w:p w:rsidR="00F0171B" w:rsidRPr="00001714" w:rsidRDefault="0036167B" w:rsidP="00F0171B">
      <w:pPr>
        <w:spacing w:before="200" w:after="100" w:afterAutospacing="1"/>
        <w:rPr>
          <w:rFonts w:ascii="Arial" w:hAnsi="Arial" w:cs="Arial"/>
          <w:sz w:val="20"/>
        </w:rPr>
      </w:pPr>
      <w:hyperlink r:id="rId108" w:anchor="_top" w:history="1">
        <w:r w:rsidR="00F0171B" w:rsidRPr="00001714">
          <w:rPr>
            <w:rFonts w:ascii="Arial" w:hAnsi="Arial" w:cs="Arial"/>
            <w:noProof/>
            <w:color w:val="0000FF"/>
            <w:sz w:val="20"/>
          </w:rPr>
          <w:drawing>
            <wp:inline distT="0" distB="0" distL="0" distR="0">
              <wp:extent cx="152400" cy="152400"/>
              <wp:effectExtent l="0" t="0" r="0" b="0"/>
              <wp:docPr id="97" name="Picture 9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9" w:name="40:14.0.1.1.1.5.140.14"/>
      <w:bookmarkEnd w:id="19"/>
      <w:r w:rsidRPr="00001714">
        <w:rPr>
          <w:rFonts w:ascii="Arial" w:hAnsi="Arial" w:cs="Arial"/>
          <w:b/>
          <w:bCs/>
          <w:sz w:val="20"/>
        </w:rPr>
        <w:t>§63.7522 Can I use emissions averaging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As an alternative to meeting the requirements of §63.7500 for PM (or TSM), HCl, or mercury on a boiler or process heater-specific basis, if you have more than one existing boiler or process heater in any subcategories located at your facility, you may demonstrate compliance by emissions averaging, if your averaged emissions are not more than 90 percent of the applicable emission limit, according to the procedures in this section. You may not include new boilers or process heaters in an emissions average.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a group of two or more existing boilers or process heaters in the same subcategory that each vent to a separate stack, you may average PM (or TSM), HCl, or mercury emissions among existing units to demonstrate compliance with the limits in Table 2 to this subpart as specified in paragraph (b</w:t>
      </w:r>
      <w:proofErr w:type="gramStart"/>
      <w:r w:rsidRPr="00001714">
        <w:rPr>
          <w:rFonts w:ascii="Arial" w:hAnsi="Arial" w:cs="Arial"/>
          <w:sz w:val="20"/>
        </w:rPr>
        <w:t>)(</w:t>
      </w:r>
      <w:proofErr w:type="gramEnd"/>
      <w:r w:rsidRPr="00001714">
        <w:rPr>
          <w:rFonts w:ascii="Arial" w:hAnsi="Arial" w:cs="Arial"/>
          <w:sz w:val="20"/>
        </w:rPr>
        <w:t>1) through (3) of this section, if you satisfy the requirements in paragraphs (c) through (g)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may average units using a CEMS or PM CPMS for demonstrating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mercury and HCl, averaging is allowed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may average among units in any of the solid fuel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may average among units in any of the liquid fuel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may average among units in a subcategory of units designed to burn gas 2 (other)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You may not average across the units designed to burn liquid, units designed to burn solid fuel, and units designed to burn gas 2 (other)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PM (or TSM), averaging is only allowed between units within each of the following subcategories and you may not average across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Stokers/sloped grate/other units designed to burn kiln dried biomass/bio-based solids.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Stokers/sloped grate/other units designed to burn wet biomass/bio-based solids.</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Fluidized</w:t>
      </w:r>
      <w:proofErr w:type="gramEnd"/>
      <w:r w:rsidRPr="00001714">
        <w:rPr>
          <w:rFonts w:ascii="Arial" w:hAnsi="Arial" w:cs="Arial"/>
          <w:sz w:val="20"/>
        </w:rPr>
        <w:t xml:space="preserve"> bed units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Suspension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Dutch</w:t>
      </w:r>
      <w:proofErr w:type="gramEnd"/>
      <w:r w:rsidRPr="00001714">
        <w:rPr>
          <w:rFonts w:ascii="Arial" w:hAnsi="Arial" w:cs="Arial"/>
          <w:sz w:val="20"/>
        </w:rPr>
        <w:t xml:space="preserve"> ovens/pile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(vii) Fuel Cells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Hybrid suspension/grate burners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(ix) Units designed to burn heavy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 Units designed to burn light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(xi) Units designed to burn liquid </w:t>
      </w:r>
      <w:proofErr w:type="gramStart"/>
      <w:r w:rsidRPr="00001714">
        <w:rPr>
          <w:rFonts w:ascii="Arial" w:hAnsi="Arial" w:cs="Arial"/>
          <w:sz w:val="20"/>
        </w:rPr>
        <w:t>fuel that are</w:t>
      </w:r>
      <w:proofErr w:type="gramEnd"/>
      <w:r w:rsidRPr="00001714">
        <w:rPr>
          <w:rFonts w:ascii="Arial" w:hAnsi="Arial" w:cs="Arial"/>
          <w:sz w:val="20"/>
        </w:rPr>
        <w:t xml:space="preserve"> non-continental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 Units designed to burn gas 2 (other) gases.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For each existing boiler or process heater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The averaged emissions rate from the existing boilers and process heaters participating in the emissions averaging option must not exceed 90 percent of the limits in Table 2 to this subpart at all times the affected units are operating following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demonstrate initial compliance according to paragraph (e</w:t>
      </w:r>
      <w:proofErr w:type="gramStart"/>
      <w:r w:rsidRPr="00001714">
        <w:rPr>
          <w:rFonts w:ascii="Arial" w:hAnsi="Arial" w:cs="Arial"/>
          <w:sz w:val="20"/>
        </w:rPr>
        <w:t>)(</w:t>
      </w:r>
      <w:proofErr w:type="gramEnd"/>
      <w:r w:rsidRPr="00001714">
        <w:rPr>
          <w:rFonts w:ascii="Arial" w:hAnsi="Arial" w:cs="Arial"/>
          <w:sz w:val="20"/>
        </w:rPr>
        <w:t>1) or (2) of this section using the maximum rated heat input capacity or maximum steam generation capacity of each unit and the results of the initial performance tests or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(1) You must use Equation 1a or 1b or 1c of this section to demonstrate that the PM (or TSM), HCl, or mercury emissions from all existing units participating in the emissions averaging option for that pollutant do not exceed the emission limits in Table 2 to this subpart. Use Equation 1a if you are complying with the emission limits on a heat input basis, use Equation 1b if you are complying with the emission limits on a steam generation (output) basis, and use Equation 1c if you are complying with the emission limits on </w:t>
      </w:r>
      <w:proofErr w:type="gramStart"/>
      <w:r w:rsidRPr="00001714">
        <w:rPr>
          <w:rFonts w:ascii="Arial" w:hAnsi="Arial" w:cs="Arial"/>
          <w:sz w:val="20"/>
        </w:rPr>
        <w:t>a</w:t>
      </w:r>
      <w:proofErr w:type="gramEnd"/>
      <w:r w:rsidRPr="00001714">
        <w:rPr>
          <w:rFonts w:ascii="Arial" w:hAnsi="Arial" w:cs="Arial"/>
          <w:sz w:val="20"/>
        </w:rPr>
        <w:t xml:space="preserve"> electric generation (output) basis.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169920" cy="266700"/>
            <wp:effectExtent l="0" t="0" r="0" b="0"/>
            <wp:docPr id="96" name="Picture 96"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1ja13.004.gif"/>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1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million Btu of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Hm = Maximum rated heat input capacity of unit, i, in units of million Btu per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169920" cy="266700"/>
            <wp:effectExtent l="0" t="0" r="0" b="0"/>
            <wp:docPr id="95" name="Picture 95"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1ja13.005.gif"/>
                    <pic:cNvPicPr>
                      <a:picLocks noChangeAspect="1" noChangeArrowheads="1"/>
                    </pic:cNvPicPr>
                  </pic:nvPicPr>
                  <pic:blipFill>
                    <a:blip r:embed="rId1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1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million Btu of steam output.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So = Maximum steam output capacity of unit, i, in units of million Btu per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08020" cy="281940"/>
            <wp:effectExtent l="0" t="0" r="0" b="0"/>
            <wp:docPr id="94" name="Picture 94" descr="eCFR graphic er31ja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1ja13.006.gif"/>
                    <pic:cNvPicPr>
                      <a:picLocks noChangeAspect="1" noChangeArrowheads="1"/>
                    </pic:cNvPicPr>
                  </pic:nvPicPr>
                  <pic:blipFill>
                    <a:blip r:embed="rId1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8020" cy="28194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1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megawatt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megawatt hour.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001714" w:rsidRDefault="00F0171B" w:rsidP="00F0171B">
      <w:pPr>
        <w:spacing w:before="200" w:after="100"/>
        <w:ind w:left="960" w:hanging="960"/>
        <w:rPr>
          <w:rFonts w:ascii="Arial" w:hAnsi="Arial" w:cs="Arial"/>
          <w:sz w:val="20"/>
        </w:rPr>
      </w:pPr>
      <w:proofErr w:type="gramStart"/>
      <w:r w:rsidRPr="00001714">
        <w:rPr>
          <w:rFonts w:ascii="Arial" w:hAnsi="Arial" w:cs="Arial"/>
          <w:sz w:val="20"/>
        </w:rPr>
        <w:t>Eo</w:t>
      </w:r>
      <w:proofErr w:type="gramEnd"/>
      <w:r w:rsidRPr="00001714">
        <w:rPr>
          <w:rFonts w:ascii="Arial" w:hAnsi="Arial" w:cs="Arial"/>
          <w:sz w:val="20"/>
        </w:rPr>
        <w:t xml:space="preserve"> = Maximum electric generating output capacity of unit, i, in units of megawatt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you are not capable of determining the maximum rated heat input capacity of one or more boilers that generate steam, you may use Equation 2 of this section as an alternative to using Equation 1a of this section to demonstrate that the PM (or TSM), HCl, or mercury emissions from all existing units participating in the emissions averaging option do not exceed the emission limits for that pollutant in Table 2 to this subpart that are in pounds per million Btu of heat input.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23260" cy="236220"/>
            <wp:effectExtent l="0" t="0" r="0" b="0"/>
            <wp:docPr id="93" name="Picture 93"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1ja13.007.gif"/>
                    <pic:cNvPicPr>
                      <a:picLocks noChangeAspect="1"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3260" cy="23622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1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AveWeightedEmissions = Average weighted emission level for PM (or TSM), HCl, or mercury, in units of pounds per million Btu of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Sm = Maximum steam generation capacity by unit, i, in units of pounds per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Cfi = Conversion factor, calculated from the most recent compliance test, in units of million Btu of heat input per pounds of steam generated for unit,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After the initial compliance demonstration described in paragraph (e) of this section, you must demonstrate compliance on a monthly basis determined at the end of every month (12 times per year) according to paragraphs (f</w:t>
      </w:r>
      <w:proofErr w:type="gramStart"/>
      <w:r w:rsidRPr="00001714">
        <w:rPr>
          <w:rFonts w:ascii="Arial" w:hAnsi="Arial" w:cs="Arial"/>
          <w:sz w:val="20"/>
        </w:rPr>
        <w:t>)(</w:t>
      </w:r>
      <w:proofErr w:type="gramEnd"/>
      <w:r w:rsidRPr="00001714">
        <w:rPr>
          <w:rFonts w:ascii="Arial" w:hAnsi="Arial" w:cs="Arial"/>
          <w:sz w:val="20"/>
        </w:rPr>
        <w:t>1) through (3) of this section. The first monthly period begins on the compliance date specified in §63.7495. If the affected source elects to collect monthly data for up the 11 months preceding the first monthly period, these additional data points can be used to compute the 12-month rolling average in paragraph (f)(3)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(1) For each calendar month, you must use Equation 3a or 3b or 3c of this section to calculate the average weighted emission rate for that month. Use Equation 3a and the actual heat input for the month for each existing unit participating in the emissions averaging option if you are complying with emission limits on a heat input basis. Use Equation 3b and the actual steam generation for the month if you are complying with the emission limits on a steam generation (output) basis. Use Equation 3c and the actual steam generation for the month if you are complying with the emission limits on </w:t>
      </w:r>
      <w:proofErr w:type="gramStart"/>
      <w:r w:rsidRPr="00001714">
        <w:rPr>
          <w:rFonts w:ascii="Arial" w:hAnsi="Arial" w:cs="Arial"/>
          <w:sz w:val="20"/>
        </w:rPr>
        <w:t>a</w:t>
      </w:r>
      <w:proofErr w:type="gramEnd"/>
      <w:r w:rsidRPr="00001714">
        <w:rPr>
          <w:rFonts w:ascii="Arial" w:hAnsi="Arial" w:cs="Arial"/>
          <w:sz w:val="20"/>
        </w:rPr>
        <w:t xml:space="preserve"> electrical generation (output) basis.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46120" cy="266700"/>
            <wp:effectExtent l="0" t="0" r="0" b="0"/>
            <wp:docPr id="92" name="Picture 92"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1ja13.008.gif"/>
                    <pic:cNvPicPr>
                      <a:picLocks noChangeAspect="1" noChangeArrowheads="1"/>
                    </pic:cNvPicPr>
                  </pic:nvPicPr>
                  <pic:blipFill>
                    <a:blip r:embed="rId1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4612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1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heat input,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Hb = </w:t>
      </w:r>
      <w:proofErr w:type="gramStart"/>
      <w:r w:rsidRPr="00001714">
        <w:rPr>
          <w:rFonts w:ascii="Arial" w:hAnsi="Arial" w:cs="Arial"/>
          <w:sz w:val="20"/>
        </w:rPr>
        <w:t>The</w:t>
      </w:r>
      <w:proofErr w:type="gramEnd"/>
      <w:r w:rsidRPr="00001714">
        <w:rPr>
          <w:rFonts w:ascii="Arial" w:hAnsi="Arial" w:cs="Arial"/>
          <w:sz w:val="20"/>
        </w:rPr>
        <w:t xml:space="preserve"> heat input for that calendar month to unit, i, in units of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994660" cy="266700"/>
            <wp:effectExtent l="0" t="0" r="0" b="0"/>
            <wp:docPr id="91" name="Picture 91"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31ja13.009.gif"/>
                    <pic:cNvPicPr>
                      <a:picLocks noChangeAspect="1" noChangeArrowheads="1"/>
                    </pic:cNvPicPr>
                  </pic:nvPicPr>
                  <pic:blipFill>
                    <a:blip r:embed="rId1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466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2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AveWeightedEmissions = Average weighted emission level for PM (or TSM), HCl, or mercury, in units of pounds per million Btu of steam output,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001714">
        <w:rPr>
          <w:rFonts w:ascii="Arial" w:hAnsi="Arial" w:cs="Arial"/>
          <w:sz w:val="20"/>
          <w:vertAlign w:val="subscript"/>
        </w:rPr>
        <w:t>adj</w:t>
      </w:r>
      <w:r w:rsidRPr="00001714">
        <w:rPr>
          <w:rFonts w:ascii="Arial" w:hAnsi="Arial" w:cs="Arial"/>
          <w:sz w:val="20"/>
        </w:rPr>
        <w:t>,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So = </w:t>
      </w:r>
      <w:proofErr w:type="gramStart"/>
      <w:r w:rsidRPr="00001714">
        <w:rPr>
          <w:rFonts w:ascii="Arial" w:hAnsi="Arial" w:cs="Arial"/>
          <w:sz w:val="20"/>
        </w:rPr>
        <w:t>The</w:t>
      </w:r>
      <w:proofErr w:type="gramEnd"/>
      <w:r w:rsidRPr="00001714">
        <w:rPr>
          <w:rFonts w:ascii="Arial" w:hAnsi="Arial" w:cs="Arial"/>
          <w:sz w:val="20"/>
        </w:rPr>
        <w:t xml:space="preserve"> steam output for that calendar month from unit, i, in units of million Btu,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30880" cy="281940"/>
            <wp:effectExtent l="0" t="0" r="0" b="0"/>
            <wp:docPr id="90" name="Picture 90" descr="eCFR graphic er31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31ja13.010.gif"/>
                    <pic:cNvPicPr>
                      <a:picLocks noChangeAspect="1" noChangeArrowheads="1"/>
                    </pic:cNvPicPr>
                  </pic:nvPicPr>
                  <pic:blipFill>
                    <a:blip r:embed="rId1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0880" cy="28194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2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megawatt hour,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megawatt hour.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001714">
        <w:rPr>
          <w:rFonts w:ascii="Arial" w:hAnsi="Arial" w:cs="Arial"/>
          <w:sz w:val="20"/>
          <w:vertAlign w:val="subscript"/>
        </w:rPr>
        <w:t>adj</w:t>
      </w:r>
      <w:r w:rsidRPr="00001714">
        <w:rPr>
          <w:rFonts w:ascii="Arial" w:hAnsi="Arial" w:cs="Arial"/>
          <w:sz w:val="20"/>
        </w:rPr>
        <w:t>, determined according to §63.7533 for that unit.</w:t>
      </w:r>
    </w:p>
    <w:p w:rsidR="00F0171B" w:rsidRPr="00001714" w:rsidRDefault="00F0171B" w:rsidP="00F0171B">
      <w:pPr>
        <w:spacing w:before="200" w:after="100"/>
        <w:ind w:left="960" w:hanging="960"/>
        <w:rPr>
          <w:rFonts w:ascii="Arial" w:hAnsi="Arial" w:cs="Arial"/>
          <w:sz w:val="20"/>
        </w:rPr>
      </w:pPr>
      <w:proofErr w:type="gramStart"/>
      <w:r w:rsidRPr="00001714">
        <w:rPr>
          <w:rFonts w:ascii="Arial" w:hAnsi="Arial" w:cs="Arial"/>
          <w:sz w:val="20"/>
        </w:rPr>
        <w:t>Eo</w:t>
      </w:r>
      <w:proofErr w:type="gramEnd"/>
      <w:r w:rsidRPr="00001714">
        <w:rPr>
          <w:rFonts w:ascii="Arial" w:hAnsi="Arial" w:cs="Arial"/>
          <w:sz w:val="20"/>
        </w:rPr>
        <w:t xml:space="preserve"> = The electric generating output for that calendar month from unit, i, in units of megawatt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you are not capable of monitoring heat input, you may use Equation 4 of this section as an alternative to using Equation 3a of this section to calculate the average weighted emission rate using the actual steam generation from the boilers participating in the emissions averaging option.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566160" cy="266700"/>
            <wp:effectExtent l="0" t="0" r="0" b="0"/>
            <wp:docPr id="89" name="Picture 89"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31ja13.011.gif"/>
                    <pic:cNvPicPr>
                      <a:picLocks noChangeAspect="1" noChangeArrowheads="1"/>
                    </pic:cNvPicPr>
                  </pic:nvPicPr>
                  <pic:blipFill>
                    <a:blip r:embed="rId1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616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2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heat input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Er = Emission rate (as determined during the most recent compliance demonstration of PM (or TSM), HCl, or mercury from unit, i, in units of pounds per million Btu of heat input. Determine the emission rate for PM </w:t>
      </w:r>
      <w:r w:rsidRPr="00001714">
        <w:rPr>
          <w:rFonts w:ascii="Arial" w:hAnsi="Arial" w:cs="Arial"/>
          <w:sz w:val="20"/>
        </w:rPr>
        <w:lastRenderedPageBreak/>
        <w:t>(or TSM), HCl, or mercury by performance testing according to Table 5 to this subpart, or by fuel analysis for HCl or mercury or TSM according to Table 6 to this subpart.</w:t>
      </w:r>
    </w:p>
    <w:p w:rsidR="00F0171B" w:rsidRPr="00001714" w:rsidRDefault="00F0171B" w:rsidP="00F0171B">
      <w:pPr>
        <w:spacing w:before="200" w:after="100"/>
        <w:ind w:left="960" w:hanging="960"/>
        <w:rPr>
          <w:rFonts w:ascii="Arial" w:hAnsi="Arial" w:cs="Arial"/>
          <w:sz w:val="20"/>
        </w:rPr>
      </w:pPr>
      <w:proofErr w:type="gramStart"/>
      <w:r w:rsidRPr="00001714">
        <w:rPr>
          <w:rFonts w:ascii="Arial" w:hAnsi="Arial" w:cs="Arial"/>
          <w:sz w:val="20"/>
        </w:rPr>
        <w:t>Sa</w:t>
      </w:r>
      <w:proofErr w:type="gramEnd"/>
      <w:r w:rsidRPr="00001714">
        <w:rPr>
          <w:rFonts w:ascii="Arial" w:hAnsi="Arial" w:cs="Arial"/>
          <w:sz w:val="20"/>
        </w:rPr>
        <w:t xml:space="preserve"> = Actual steam generation for that calendar month by boiler, i, in units of pounds.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Cfi = Conversion factor, as calculated during the most recent compliance test, in units of million Btu of heat input per pounds of steam generated for boiler,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 xml:space="preserve">1.1 = </w:t>
      </w:r>
      <w:proofErr w:type="gramStart"/>
      <w:r w:rsidRPr="00001714">
        <w:rPr>
          <w:rFonts w:ascii="Arial" w:hAnsi="Arial" w:cs="Arial"/>
          <w:sz w:val="20"/>
        </w:rPr>
        <w:t>Required</w:t>
      </w:r>
      <w:proofErr w:type="gramEnd"/>
      <w:r w:rsidRPr="00001714">
        <w:rPr>
          <w:rFonts w:ascii="Arial" w:hAnsi="Arial" w:cs="Arial"/>
          <w:sz w:val="20"/>
        </w:rPr>
        <w:t xml:space="preserve">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Until 12 monthly weighted average emission rates have been accumulated, calculate and report only the average weighted emission rate determined under paragraph (f</w:t>
      </w:r>
      <w:proofErr w:type="gramStart"/>
      <w:r w:rsidRPr="00001714">
        <w:rPr>
          <w:rFonts w:ascii="Arial" w:hAnsi="Arial" w:cs="Arial"/>
          <w:sz w:val="20"/>
        </w:rPr>
        <w:t>)(</w:t>
      </w:r>
      <w:proofErr w:type="gramEnd"/>
      <w:r w:rsidRPr="00001714">
        <w:rPr>
          <w:rFonts w:ascii="Arial" w:hAnsi="Arial" w:cs="Arial"/>
          <w:sz w:val="20"/>
        </w:rPr>
        <w:t>1) or (2) of this section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478280" cy="259080"/>
            <wp:effectExtent l="0" t="0" r="0" b="0"/>
            <wp:docPr id="88" name="Picture 88"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21mr11.004.gif"/>
                    <pic:cNvPicPr>
                      <a:picLocks noChangeAspect="1"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8280" cy="2590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2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Eavg = 12-month rolling average emission rate, (pounds per million Btu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ERi = Monthly weighted average, for calendar month “i” (pounds per million Btu heat input), as calculated by paragraph (f</w:t>
      </w:r>
      <w:proofErr w:type="gramStart"/>
      <w:r w:rsidRPr="00001714">
        <w:rPr>
          <w:rFonts w:ascii="Arial" w:hAnsi="Arial" w:cs="Arial"/>
          <w:sz w:val="20"/>
        </w:rPr>
        <w:t>)(</w:t>
      </w:r>
      <w:proofErr w:type="gramEnd"/>
      <w:r w:rsidRPr="00001714">
        <w:rPr>
          <w:rFonts w:ascii="Arial" w:hAnsi="Arial" w:cs="Arial"/>
          <w:sz w:val="20"/>
        </w:rPr>
        <w:t>1) or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You must develop, and submit upon request to the applicable Administrator for review and approval, an implementation plan for emission averaging according to the following procedures and requirements in paragraphs (g</w:t>
      </w:r>
      <w:proofErr w:type="gramStart"/>
      <w:r w:rsidRPr="00001714">
        <w:rPr>
          <w:rFonts w:ascii="Arial" w:hAnsi="Arial" w:cs="Arial"/>
          <w:sz w:val="20"/>
        </w:rPr>
        <w:t>)(</w:t>
      </w:r>
      <w:proofErr w:type="gramEnd"/>
      <w:r w:rsidRPr="00001714">
        <w:rPr>
          <w:rFonts w:ascii="Arial" w:hAnsi="Arial" w:cs="Arial"/>
          <w:sz w:val="20"/>
        </w:rPr>
        <w:t>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submit the implementation plan no later than 180 days before the date that the facility intends to demonstrate compliance using the emission averaging option.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(g</w:t>
      </w:r>
      <w:proofErr w:type="gramStart"/>
      <w:r w:rsidRPr="00001714">
        <w:rPr>
          <w:rFonts w:ascii="Arial" w:hAnsi="Arial" w:cs="Arial"/>
          <w:sz w:val="20"/>
        </w:rPr>
        <w:t>)(</w:t>
      </w:r>
      <w:proofErr w:type="gramEnd"/>
      <w:r w:rsidRPr="00001714">
        <w:rPr>
          <w:rFonts w:ascii="Arial" w:hAnsi="Arial" w:cs="Arial"/>
          <w:sz w:val="20"/>
        </w:rPr>
        <w:t>2)(i) through (vii) of this section in your implementation plan for all emission sources included in an emissions average: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process parameter (heat input or steam generated) that will be monitored for each averaging group;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The specific control technology or pollution prevention measure to be used for each emission boiler or process heater in the averaging group and the date of its installation or application. If the pollution prevention measure reduces or eliminates emissions from multiple boilers or process heaters, the owner or operator must identify each boiler or process heater;</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The</w:t>
      </w:r>
      <w:proofErr w:type="gramEnd"/>
      <w:r w:rsidRPr="00001714">
        <w:rPr>
          <w:rFonts w:ascii="Arial" w:hAnsi="Arial" w:cs="Arial"/>
          <w:sz w:val="20"/>
        </w:rPr>
        <w:t xml:space="preserve"> test plan for the measurement of PM (or TSM), HCl, or mercury emissions in accordance with the requirements in §63.7520;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(v) The operating parameters to be monitored for each control system or device consistent with §63.7500 and Table 4, and a description of how the operating limits will be determined;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If</w:t>
      </w:r>
      <w:proofErr w:type="gramEnd"/>
      <w:r w:rsidRPr="00001714">
        <w:rPr>
          <w:rFonts w:ascii="Arial" w:hAnsi="Arial" w:cs="Arial"/>
          <w:sz w:val="20"/>
        </w:rPr>
        <w:t xml:space="preserve"> you request to monitor an alternative operating parameter pursuant to §63.7525, you must also include: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 description of the parameter(s) to be monitored and an explanation of the criteria used to select the parameter(s);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Administrator shall review and approve or disapprove the plan according to the following criteria: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Whether the content of the plan includes all of the information specified in paragraph (g</w:t>
      </w:r>
      <w:proofErr w:type="gramStart"/>
      <w:r w:rsidRPr="00001714">
        <w:rPr>
          <w:rFonts w:ascii="Arial" w:hAnsi="Arial" w:cs="Arial"/>
          <w:sz w:val="20"/>
        </w:rPr>
        <w:t>)(</w:t>
      </w:r>
      <w:proofErr w:type="gramEnd"/>
      <w:r w:rsidRPr="00001714">
        <w:rPr>
          <w:rFonts w:ascii="Arial" w:hAnsi="Arial" w:cs="Arial"/>
          <w:sz w:val="20"/>
        </w:rPr>
        <w:t>2) of this section;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Whether the plan presents sufficient information to determine that compliance will be achieved and maintained.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applicable Administrator shall not approve an emission averaging implementation plan containing any of the following provisions: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Any averaging between emissions of differing pollutants or between differing sources;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inclusion of any emission source other than an existing unit in the same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For a group of two or more existing affected units, each of which vents through a single common stack, you may average PM (or TSM), HCl, or mercury emissions to demonstrate compliance with the limits for that pollutant in Table 2 to this subpart if you satisfy the requirements in paragraph (i) or (j)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 group of two or more existing units in the same subcategories, each of which vents through a common emissions control system to a common stack, that does not receive emissions from units in other subcategories or categories, you may treat such averaging group as a single existing unit for purposes of this subpart and comply with the requirements of this subpart as if the group were a single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For all other groups of units subject to the common stack requirements of paragraph (h) of this section, including situations where the exhaust of affected units are each individually controlled and then sent to a common stack, the owner or operator may elect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Conduct performance tests according to procedures specified in §63.7520 in the common stack if affected units from other subcategories vent to the common stack. The emission limits that the group must comply with are determined by the use of Equation 6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920240" cy="266700"/>
            <wp:effectExtent l="0" t="0" r="0" b="0"/>
            <wp:docPr id="87" name="Picture 87"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31ja13.012.gif"/>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2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En = HAP emission limit, pounds per million British thermal units (lb/MMBtu), parts per million (ppm), or nanograms per dry standard cubic meter (ng/dscm).</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ELi = Appropriate emission limit from Table 2 to this subpart for unit i, in units of lb/MMBtu, ppm or ng/dscm.</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Hi = Heat input from unit i, MMBtu.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performance tests according to procedures specified in §63.7520 in the common stack. If affected units and non-affected units vent to the common stack, the non-affected units must be shut down or vented to a different stack during the performance test unless the facility determines to demonstrate compliance with the non-affected units venting to the stack;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The common stack of a group of two or more existing boilers or process heaters in the same subcategories subject to paragraph (h) of this section may be treated as a separate stack for purposes of paragraph (b) of this section and included in an emissions averaging group subject to paragraph (b) of this section.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7168, Jan. 31, 2013]</w:t>
      </w:r>
    </w:p>
    <w:p w:rsidR="00F0171B" w:rsidRPr="00001714" w:rsidRDefault="0036167B" w:rsidP="00F0171B">
      <w:pPr>
        <w:spacing w:before="200" w:after="100" w:afterAutospacing="1"/>
        <w:rPr>
          <w:rFonts w:ascii="Arial" w:hAnsi="Arial" w:cs="Arial"/>
          <w:sz w:val="20"/>
        </w:rPr>
      </w:pPr>
      <w:hyperlink r:id="rId129" w:anchor="_top" w:history="1">
        <w:r w:rsidR="00F0171B" w:rsidRPr="00001714">
          <w:rPr>
            <w:rFonts w:ascii="Arial" w:hAnsi="Arial" w:cs="Arial"/>
            <w:noProof/>
            <w:color w:val="0000FF"/>
            <w:sz w:val="20"/>
          </w:rPr>
          <w:drawing>
            <wp:inline distT="0" distB="0" distL="0" distR="0">
              <wp:extent cx="152400" cy="152400"/>
              <wp:effectExtent l="0" t="0" r="0" b="0"/>
              <wp:docPr id="86" name="Picture 86"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0" w:name="40:14.0.1.1.1.5.140.15"/>
      <w:bookmarkEnd w:id="20"/>
      <w:r w:rsidRPr="00001714">
        <w:rPr>
          <w:rFonts w:ascii="Arial" w:hAnsi="Arial" w:cs="Arial"/>
          <w:b/>
          <w:bCs/>
          <w:sz w:val="20"/>
        </w:rPr>
        <w:t xml:space="preserve">§63.7525 </w:t>
      </w:r>
      <w:proofErr w:type="gramStart"/>
      <w:r w:rsidRPr="00001714">
        <w:rPr>
          <w:rFonts w:ascii="Arial" w:hAnsi="Arial" w:cs="Arial"/>
          <w:b/>
          <w:bCs/>
          <w:sz w:val="20"/>
        </w:rPr>
        <w:t>What</w:t>
      </w:r>
      <w:proofErr w:type="gramEnd"/>
      <w:r w:rsidRPr="00001714">
        <w:rPr>
          <w:rFonts w:ascii="Arial" w:hAnsi="Arial" w:cs="Arial"/>
          <w:b/>
          <w:bCs/>
          <w:sz w:val="20"/>
        </w:rPr>
        <w:t xml:space="preserve"> are my monitoring, installation, operation, and maintenance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If your boiler or process heater is subject to a CO emission limit in Tables 1, 2, or 11 through 13 to this subpart, you must install, operate, and maintain an oxygen analyzer system, as defined in §63.7575, or install, certify, operate and maintain continuous emission monitoring systems for CO and oxygen according to the procedures in paragraphs (a</w:t>
      </w:r>
      <w:proofErr w:type="gramStart"/>
      <w:r w:rsidRPr="00001714">
        <w:rPr>
          <w:rFonts w:ascii="Arial" w:hAnsi="Arial" w:cs="Arial"/>
          <w:sz w:val="20"/>
        </w:rPr>
        <w:t>)(</w:t>
      </w:r>
      <w:proofErr w:type="gramEnd"/>
      <w:r w:rsidRPr="00001714">
        <w:rPr>
          <w:rFonts w:ascii="Arial" w:hAnsi="Arial" w:cs="Arial"/>
          <w:sz w:val="20"/>
        </w:rPr>
        <w:t>1) through (7)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CO CEMS and oxygen analyzer by the compliance date specified in §63.7495. The CO and oxygen levels shall be monitored at the same location at the outlet of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To demonstrate compliance with the applicable alternative CO CEMS emission standard listed in Tables 1, 2, or 11 through 13 to this subpart, you must install, certify, operate, and maintain a CO CEMS and an oxygen analyzer according to the applicable procedures under Performance Specification 4, 4A, or 4B at 40 CFR part 60, appendix B, the site-specific monitoring plan developed according to §63.7505(d), and the requirements in §63.7540(a)(8) and paragraph (a) of this section. Any boiler or process heater that has a CO CEMS that is compliant with Performance Specification 4, 4A, or 4B at 40 CFR part 60, appendix B, a site-specific monitoring plan developed according to §63.7505(d), and the requirements in §63.7540(a</w:t>
      </w:r>
      <w:proofErr w:type="gramStart"/>
      <w:r w:rsidRPr="00001714">
        <w:rPr>
          <w:rFonts w:ascii="Arial" w:hAnsi="Arial" w:cs="Arial"/>
          <w:sz w:val="20"/>
        </w:rPr>
        <w:t>)(</w:t>
      </w:r>
      <w:proofErr w:type="gramEnd"/>
      <w:r w:rsidRPr="00001714">
        <w:rPr>
          <w:rFonts w:ascii="Arial" w:hAnsi="Arial" w:cs="Arial"/>
          <w:sz w:val="20"/>
        </w:rPr>
        <w:t>8) and paragraph (a) of this section must use the CO CEMS to comply with the applicable alternative CO CEMS emission standard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conduct a performance evaluation of each CO CEMS according to the requirements in §63.8(e) and according to Performance Specification 4, 4A, or 4B at 40 CFR part 60, appendix 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(ii) During each relative accuracy test run of the CO CEMS, you must be collect emission data for CO concurrently (or within a 30- to 60-minute period) by both the CO CEMS and by Method 10, 10A, or 10B at 40 CFR part 60, appendix A-4. The relative accuracy testing must be at representative operating conditions.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follow the quality assurance procedures (e.g., quarterly accuracy determinations and daily calibration drift tests) of Procedure 1 of appendix F to part 60. The measurement span value of the CO CEMS must be two times the applicable CO emission limit, expressed as a concentration.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Any CO CEMS that does not comply with §63.7525(a) cannot be used to meet any requirement in this subpart to demonstrate compliance with a CO emission limit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Complete a minimum of one cycle of CO and oxygen CEMS operation (sampling, analyzing, and data recording) for each successive 15-minute period. Collect CO and oxygen data concurrently. Collect at least four CO and oxygen CEMS data values representing the four 15-minute periods in an hour, or at least two 15-minute data values during an hour when CEMS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Reduce the CO CEMS data as specified in §63.8(g</w:t>
      </w:r>
      <w:proofErr w:type="gramStart"/>
      <w:r w:rsidRPr="00001714">
        <w:rPr>
          <w:rFonts w:ascii="Arial" w:hAnsi="Arial" w:cs="Arial"/>
          <w:sz w:val="20"/>
        </w:rPr>
        <w:t>)(</w:t>
      </w:r>
      <w:proofErr w:type="gramEnd"/>
      <w:r w:rsidRPr="00001714">
        <w:rPr>
          <w:rFonts w:ascii="Arial" w:hAnsi="Arial" w:cs="Arial"/>
          <w:sz w:val="20"/>
        </w:rPr>
        <w:t>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(5) Calculate one-hour arithmetic averages, corrected to 3 percent oxygen from each hour of CO CEMS data in parts per million CO </w:t>
      </w:r>
      <w:proofErr w:type="gramStart"/>
      <w:r w:rsidRPr="00001714">
        <w:rPr>
          <w:rFonts w:ascii="Arial" w:hAnsi="Arial" w:cs="Arial"/>
          <w:sz w:val="20"/>
        </w:rPr>
        <w:t>concentration</w:t>
      </w:r>
      <w:proofErr w:type="gramEnd"/>
      <w:r w:rsidRPr="00001714">
        <w:rPr>
          <w:rFonts w:ascii="Arial" w:hAnsi="Arial" w:cs="Arial"/>
          <w:sz w:val="20"/>
        </w:rPr>
        <w:t xml:space="preserve">. The one-hour arithmetic averages required shall be used to calculate the 30-day or 10-day rolling average emissions. Use Equation 19-19 in section 12.4.1 of Method 19 of 40 CFR part 60, appendix </w:t>
      </w:r>
      <w:proofErr w:type="gramStart"/>
      <w:r w:rsidRPr="00001714">
        <w:rPr>
          <w:rFonts w:ascii="Arial" w:hAnsi="Arial" w:cs="Arial"/>
          <w:sz w:val="20"/>
        </w:rPr>
        <w:t>A-</w:t>
      </w:r>
      <w:proofErr w:type="gramEnd"/>
      <w:r w:rsidRPr="00001714">
        <w:rPr>
          <w:rFonts w:ascii="Arial" w:hAnsi="Arial" w:cs="Arial"/>
          <w:sz w:val="20"/>
        </w:rPr>
        <w:t>7 for calculating the average CO concentration from the hourly values.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For purposes of collecting CO data, operate the CO CEMS as specified in §63.7535(b). You must use all the data collected during all periods in calculating data averages and assessing compliance, except that you must exclude certain data as specified in §63.7535(c). Periods when CO data are unavailable may constitute monitoring deviations as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Operate an oxygen trim system with the oxygen level set no lower than the lowest hourly average oxygen concentration measured during the most recent CO performance test as the operating limit for oxygen according to Table 7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(b) If your boiler or process heater is in the unit designed to burn coal/solid fossil fuel subcategory or the unit designed to burn heavy liquid subcategory and has an average annual heat input rate greater than 250 MMBtu per hour from solid fossil fuel and/or heavy liquid, and you demonstrate compliance with the PM limit instead of the alternative TSM limit, you must install, certify, maintain, and operate a PM CPMS monitoring emissions discharged to the atmosphere and record the output of the system as specified in paragraphs (b)(1) through (4) of this section. As an alternative to use of a PM CPMS to demonstrate compliance with the PM limit, you may choose to use a PM CEMS. If you choose to use a PM CEMS to demonstrate compliance with the PM limit instead of the alternative TSM limit, you must install, certify, maintain, and operate a PM CEMS monitoring emissions discharged to the atmosphere and record the output of the system as specified in paragraph (b)(5) through (8) of this section. For other boilers or process heaters, you may elect to use a PM CPMS or PM CEMS operated in accordance with this section in lieu of using other CMS for monitoring PM compliance (e.g., bag leak detectors, ESP secondary power, </w:t>
      </w:r>
      <w:proofErr w:type="gramStart"/>
      <w:r w:rsidRPr="00001714">
        <w:rPr>
          <w:rFonts w:ascii="Arial" w:hAnsi="Arial" w:cs="Arial"/>
          <w:sz w:val="20"/>
        </w:rPr>
        <w:t>PM</w:t>
      </w:r>
      <w:proofErr w:type="gramEnd"/>
      <w:r w:rsidRPr="00001714">
        <w:rPr>
          <w:rFonts w:ascii="Arial" w:hAnsi="Arial" w:cs="Arial"/>
          <w:sz w:val="20"/>
        </w:rPr>
        <w:t xml:space="preserve"> scrubber pressure). Owners of boilers and process heaters who elect to comply with the alternative TSM limit are not required to install a PM CPMS.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certify, operate, and maintain your PM CPMS according to the procedures in your approved site-specific monitoring plan developed in accordance with §63.7505(d), the requirements in §63.7540(a</w:t>
      </w:r>
      <w:proofErr w:type="gramStart"/>
      <w:r w:rsidRPr="00001714">
        <w:rPr>
          <w:rFonts w:ascii="Arial" w:hAnsi="Arial" w:cs="Arial"/>
          <w:sz w:val="20"/>
        </w:rPr>
        <w:t>)(</w:t>
      </w:r>
      <w:proofErr w:type="gramEnd"/>
      <w:r w:rsidRPr="00001714">
        <w:rPr>
          <w:rFonts w:ascii="Arial" w:hAnsi="Arial" w:cs="Arial"/>
          <w:sz w:val="20"/>
        </w:rPr>
        <w:t>9), and paragraphs (b)(1)(i)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 The operating principle of the PM CPMS must be based on in-stack or extractive light scatter, light scintillation, beta attenuation, or mass accumulation detection of PM in the exhaust gas or representative exhaust gas sample. The reportable measurement output from the PM CPMS must be expressed as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PM CPMS must have a cycle time (i.e., period required to complete sampling, measurement, and reporting for each measurement) no longer than 60 minutes.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The PM CPMS must be capable of detecting and responding to PM concentrations of no greater than 0.5 milligram per actual cubic meter.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Collect PM CPMS hourly average output data for all boiler or process heater operating hours except as indicated in §63.7535(a) through (d). Express the PM CPMS output as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(4) Calculate the arithmetic 30-day rolling average of all of the hourly average PM </w:t>
      </w:r>
      <w:proofErr w:type="gramStart"/>
      <w:r w:rsidRPr="00001714">
        <w:rPr>
          <w:rFonts w:ascii="Arial" w:hAnsi="Arial" w:cs="Arial"/>
          <w:sz w:val="20"/>
        </w:rPr>
        <w:t>CPMS</w:t>
      </w:r>
      <w:proofErr w:type="gramEnd"/>
      <w:r w:rsidRPr="00001714">
        <w:rPr>
          <w:rFonts w:ascii="Arial" w:hAnsi="Arial" w:cs="Arial"/>
          <w:sz w:val="20"/>
        </w:rPr>
        <w:t xml:space="preserve"> output data collected during all boiler or process heater operating hours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Install, certify, operate, and maintain your PM CEMS according to the procedures in your approved site-specific monitoring plan developed in accordance with §63.7505(d), the requirements in §63.7540(a</w:t>
      </w:r>
      <w:proofErr w:type="gramStart"/>
      <w:r w:rsidRPr="00001714">
        <w:rPr>
          <w:rFonts w:ascii="Arial" w:hAnsi="Arial" w:cs="Arial"/>
          <w:sz w:val="20"/>
        </w:rPr>
        <w:t>)(</w:t>
      </w:r>
      <w:proofErr w:type="gramEnd"/>
      <w:r w:rsidRPr="00001714">
        <w:rPr>
          <w:rFonts w:ascii="Arial" w:hAnsi="Arial" w:cs="Arial"/>
          <w:sz w:val="20"/>
        </w:rPr>
        <w:t>9), and paragraphs (b)(5)(i) through (iv)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shall conduct a performance evaluation of the PM CEMS according to the applicable requirements of §60.8(e), and Performance Specification 11 at 40 CFR part 60, appendix B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each PM correlation testing run of the CEMS required by Performance Specification 11 at 40 CFR part 60, appendix B of this chapter, you shall collect PM and oxygen (or carbon dioxide) data concurrently (or within a 30-to 60-minute period) by both the CEMS and conducting performance tests using Method 5 at 40 CFR part 60, appendix A-3 or Method 17 at 40 CFR part 60, appendix A-6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(iii) You shall perform quarterly accuracy determinations and daily calibration drift tests in accordance with Procedure 2 at 40 CFR </w:t>
      </w:r>
      <w:proofErr w:type="gramStart"/>
      <w:r w:rsidRPr="00001714">
        <w:rPr>
          <w:rFonts w:ascii="Arial" w:hAnsi="Arial" w:cs="Arial"/>
          <w:sz w:val="20"/>
        </w:rPr>
        <w:t>part</w:t>
      </w:r>
      <w:proofErr w:type="gramEnd"/>
      <w:r w:rsidRPr="00001714">
        <w:rPr>
          <w:rFonts w:ascii="Arial" w:hAnsi="Arial" w:cs="Arial"/>
          <w:sz w:val="20"/>
        </w:rPr>
        <w:t xml:space="preserve"> 60, appendix F of this chapter. You must perform Relative Response Audits annually and perform Response Correlation Audits every 3 years.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(iv) Within 60 days after the date of completing each CEMS relative accuracy test audit or performance test conducted to demonstrate compliance with this subpart, you must submit the relative accuracy test audit data and performance test data to the EPA by successfully submitting the data electronically into the EPA's Central Data Exchange by using the Electronic Reporting Tool (see </w:t>
      </w:r>
      <w:r w:rsidRPr="00001714">
        <w:rPr>
          <w:rFonts w:ascii="Arial" w:hAnsi="Arial" w:cs="Arial"/>
          <w:i/>
          <w:iCs/>
          <w:sz w:val="20"/>
        </w:rPr>
        <w:t>http://www.epa.gov/ttn/chief/ert/erttool.html/</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Collect PM CEMS hourly average output data for all boiler or process heater operating hours except as indicated in §63.7535(a) through (d).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Calculate the arithmetic 30-day rolling average of all of the hourly average PM CEMS output data collected during all boiler or process heater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(c) If you have an applicable opacity operating limit in this rule, and are not otherwise required or elect to install and operate a PM CPMS, PM CEMS, or a bag leak detection system, you must install, operate, certify and maintain each COMS according to the procedures in paragraphs (c</w:t>
      </w:r>
      <w:proofErr w:type="gramStart"/>
      <w:r w:rsidRPr="00001714">
        <w:rPr>
          <w:rFonts w:ascii="Arial" w:hAnsi="Arial" w:cs="Arial"/>
          <w:sz w:val="20"/>
        </w:rPr>
        <w:t>)(</w:t>
      </w:r>
      <w:proofErr w:type="gramEnd"/>
      <w:r w:rsidRPr="00001714">
        <w:rPr>
          <w:rFonts w:ascii="Arial" w:hAnsi="Arial" w:cs="Arial"/>
          <w:sz w:val="20"/>
        </w:rPr>
        <w:t>1) through (7) of this section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Each COMS must be installed, operated, and maintained according to Performance Specification 1 at appendix B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conduct a performance evaluation of each COMS according to the requirements in §63.8(e) and according to Performance Specification 1 at appendix B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As specified in §63.8(c)(4)(i), each COMS must complete a minimum of one cycle of sampling and analyzing for each successive 10-second period and one cycle of data recording for each successive 6-minute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COMS data must be reduced as specified in §63.8(g</w:t>
      </w:r>
      <w:proofErr w:type="gramStart"/>
      <w:r w:rsidRPr="00001714">
        <w:rPr>
          <w:rFonts w:ascii="Arial" w:hAnsi="Arial" w:cs="Arial"/>
          <w:sz w:val="20"/>
        </w:rPr>
        <w:t>)(</w:t>
      </w:r>
      <w:proofErr w:type="gramEnd"/>
      <w:r w:rsidRPr="00001714">
        <w:rPr>
          <w:rFonts w:ascii="Arial" w:hAnsi="Arial" w:cs="Arial"/>
          <w:sz w:val="20"/>
        </w:rPr>
        <w:t>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 Any 6-minute period for which the monitoring system is out of control and data are not available for a required calculation constitutes a deviation from the monitoring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You must determine and record all the 6-minute averages (and daily block averages as applicable) collected for periods during which the COMS is not out of control.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have an operating limit that requires the use of a CMS other than a PM CPMS or COMS, you must install, operate, and maintain each CMS according to the procedures in paragraphs (d)(1) through (5) of this section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CPMS must complete a minimum of one cycle of operation every 15-minutes. You must have a minimum of four successive cycles of operation, one representing each of the four 15-minute periods in an hour, to have a valid hour of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operate the monitoring system as specified in §63.7535(b), and comply with the data calculation requirements specified in §63.7535(c).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Any 15-minute period for which the monitoring system is out-of-control and data are not available for a required calculation constitutes a deviation from the monitoring requirements. Other situations that constitute a monitoring deviation are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determine the 30-day rolling average of all recorded readings, except as provided in §63.7535(c).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You must record the results of each inspection, calibration, and validation check.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(e) If you have an operating limit that requires the use of a flow monitoring system, you must meet the requirements in paragraphs (d) and (e</w:t>
      </w:r>
      <w:proofErr w:type="gramStart"/>
      <w:r w:rsidRPr="00001714">
        <w:rPr>
          <w:rFonts w:ascii="Arial" w:hAnsi="Arial" w:cs="Arial"/>
          <w:sz w:val="20"/>
        </w:rPr>
        <w:t>)(</w:t>
      </w:r>
      <w:proofErr w:type="gramEnd"/>
      <w:r w:rsidRPr="00001714">
        <w:rPr>
          <w:rFonts w:ascii="Arial" w:hAnsi="Arial" w:cs="Arial"/>
          <w:sz w:val="20"/>
        </w:rPr>
        <w:t>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install the flow sensor and other necessary equipment in a position that provides a representative flow.</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use a flow sensor with a measurement sensitivity of no greater than 2 percent of the design flow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minimize, consistent with good engineering practices, the effects of swirling flow or abnormal velocity distributions due to upstream and downstream disturbances.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conduct a flow monitoring system performance evaluation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have an operating limit that requires the use of a pressure monitoring system, you must meet the requirements in paragraphs (d) and (f</w:t>
      </w:r>
      <w:proofErr w:type="gramStart"/>
      <w:r w:rsidRPr="00001714">
        <w:rPr>
          <w:rFonts w:ascii="Arial" w:hAnsi="Arial" w:cs="Arial"/>
          <w:sz w:val="20"/>
        </w:rPr>
        <w:t>)(</w:t>
      </w:r>
      <w:proofErr w:type="gramEnd"/>
      <w:r w:rsidRPr="00001714">
        <w:rPr>
          <w:rFonts w:ascii="Arial" w:hAnsi="Arial" w:cs="Arial"/>
          <w:sz w:val="20"/>
        </w:rPr>
        <w:t>1) through (6)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pressure sensor(s) in a position that provides a representative measurement of the pressure (</w:t>
      </w:r>
      <w:r w:rsidRPr="00001714">
        <w:rPr>
          <w:rFonts w:ascii="Arial" w:hAnsi="Arial" w:cs="Arial"/>
          <w:i/>
          <w:iCs/>
          <w:sz w:val="20"/>
        </w:rPr>
        <w:t>e.g.</w:t>
      </w:r>
      <w:r w:rsidRPr="00001714">
        <w:rPr>
          <w:rFonts w:ascii="Arial" w:hAnsi="Arial" w:cs="Arial"/>
          <w:sz w:val="20"/>
        </w:rPr>
        <w:t>, PM scrubber pressure drop).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Minimize or eliminate pulsating pressure, vibration, and internal and external corrosion consistent with good engineering practices.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Use a pressure sensor with a minimum tolerance of 1.27 centimeters of water or a minimum tolerance of 1 percent of the pressure monitoring system operating range, whichever is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Perform checks at least once each process operating day to ensure pressure measurements are not obstructed (</w:t>
      </w:r>
      <w:r w:rsidRPr="00001714">
        <w:rPr>
          <w:rFonts w:ascii="Arial" w:hAnsi="Arial" w:cs="Arial"/>
          <w:i/>
          <w:iCs/>
          <w:sz w:val="20"/>
        </w:rPr>
        <w:t>e.g.</w:t>
      </w:r>
      <w:r w:rsidRPr="00001714">
        <w:rPr>
          <w:rFonts w:ascii="Arial" w:hAnsi="Arial" w:cs="Arial"/>
          <w:sz w:val="20"/>
        </w:rPr>
        <w:t>, check for pressure tap pluggage daily).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Conduct a performance evaluation of the pressure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 monitoring plan. Alternatively, install and verify the operation of a new pressure sensor.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have an operating limit that requires a pH monitoring system, you must meet the requirements in paragraphs (d) and (g</w:t>
      </w:r>
      <w:proofErr w:type="gramStart"/>
      <w:r w:rsidRPr="00001714">
        <w:rPr>
          <w:rFonts w:ascii="Arial" w:hAnsi="Arial" w:cs="Arial"/>
          <w:sz w:val="20"/>
        </w:rPr>
        <w:t>)(</w:t>
      </w:r>
      <w:proofErr w:type="gramEnd"/>
      <w:r w:rsidRPr="00001714">
        <w:rPr>
          <w:rFonts w:ascii="Arial" w:hAnsi="Arial" w:cs="Arial"/>
          <w:sz w:val="20"/>
        </w:rPr>
        <w:t>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pH sensor in a position that provides a representative measurement of scrubber effluent pH.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Ensure the sample is properly mixed and representative of the fluid to be measured.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Conduct a performance evaluation of the pH monitoring system in accordance with your monitoring plan at least once each process operating day.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(h) If you have an operating limit that requires a secondary electric power monitoring system for an electrostatic precipitator (ESP) operated with a wet scrubber, you must meet the requirements in paragraphs (h</w:t>
      </w:r>
      <w:proofErr w:type="gramStart"/>
      <w:r w:rsidRPr="00001714">
        <w:rPr>
          <w:rFonts w:ascii="Arial" w:hAnsi="Arial" w:cs="Arial"/>
          <w:sz w:val="20"/>
        </w:rPr>
        <w:t>)(</w:t>
      </w:r>
      <w:proofErr w:type="gramEnd"/>
      <w:r w:rsidRPr="00001714">
        <w:rPr>
          <w:rFonts w:ascii="Arial" w:hAnsi="Arial" w:cs="Arial"/>
          <w:sz w:val="20"/>
        </w:rPr>
        <w:t>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sensors to measure (secondary) voltage and current to the precipitator collection plates.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electric power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have an operating limit that requires the use of a monitoring system to measure sorbent injection rate (e.g., weigh belt, weigh hopper, or hopper flow measurement device), you must meet the requirements in paragraphs (d) and (i)(1) through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system in a position(s) that provides a representative measurement of the total sorbent injection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sorbent injection rate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If you are not required to use a PM CPMS and elect to use a fabric filter bag leak detection system to comply with the requirements of this subpart, you must install, calibrate, maintain, and continuously operate the bag leak detection system as specified in paragraphs (j)(1) through (6)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install a bag leak detection sensor(s) in a position(s) that will be representative of the relative or absolute PM loadings for each exhaust stack, roof vent, or compartment (e.g., for a positive pressure fabric filter) of the fabric filter.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bag leak detection system in accordance with your monitoring plan and consistent with the guidance provided in EPA-454/R-98-015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Use a bag leak detection system certified by the manufacturer to be capable of detecting PM emissions at concentrations of 10 milligrams per actual cubic meter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Use a bag leak detection system equipped with a device to record continuously the output signal from the sensor.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Use a bag leak detection system equipped with a system that will alert plant operating personnel when an increase in relative PM emissions over a preset level is detected. The alert must easily recognizable (e.g., heard or seen) by plant operating personnel.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Where multiple bag leak detectors are required, the system's instrumentation and alert may be shared among detectors.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For each unit that meets the definition of limited-use boiler or process heater, you must keep fuel use records for the days the boiler or process heater was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(l) For each unit for which you decide to demonstrate compliance with the mercury or HCl emissions limits in Tables 1 or 2 or 11 through 13 of this subpart by use of a CEMS for mercury or HCl, you must install, certify, maintain, and operate a CEMS measuring emissions discharged to the atmosphere and record the output of the system as specified in paragraphs (l</w:t>
      </w:r>
      <w:proofErr w:type="gramStart"/>
      <w:r w:rsidRPr="00001714">
        <w:rPr>
          <w:rFonts w:ascii="Arial" w:hAnsi="Arial" w:cs="Arial"/>
          <w:sz w:val="20"/>
        </w:rPr>
        <w:t>)(</w:t>
      </w:r>
      <w:proofErr w:type="gramEnd"/>
      <w:r w:rsidRPr="00001714">
        <w:rPr>
          <w:rFonts w:ascii="Arial" w:hAnsi="Arial" w:cs="Arial"/>
          <w:sz w:val="20"/>
        </w:rPr>
        <w:t xml:space="preserve">1) through (8) of this section. For HCl, this option for an affected unit takes effect on the date a final performance specification for </w:t>
      </w:r>
      <w:proofErr w:type="gramStart"/>
      <w:r w:rsidRPr="00001714">
        <w:rPr>
          <w:rFonts w:ascii="Arial" w:hAnsi="Arial" w:cs="Arial"/>
          <w:sz w:val="20"/>
        </w:rPr>
        <w:t>a</w:t>
      </w:r>
      <w:proofErr w:type="gramEnd"/>
      <w:r w:rsidRPr="00001714">
        <w:rPr>
          <w:rFonts w:ascii="Arial" w:hAnsi="Arial" w:cs="Arial"/>
          <w:sz w:val="20"/>
        </w:rPr>
        <w:t xml:space="preserve"> HCl CEMS is published in the </w:t>
      </w:r>
      <w:r w:rsidRPr="00001714">
        <w:rPr>
          <w:rFonts w:ascii="Arial" w:hAnsi="Arial" w:cs="Arial"/>
          <w:smallCaps/>
          <w:sz w:val="20"/>
        </w:rPr>
        <w:t>Federal Register</w:t>
      </w:r>
      <w:r w:rsidRPr="00001714">
        <w:rPr>
          <w:rFonts w:ascii="Arial" w:hAnsi="Arial" w:cs="Arial"/>
          <w:sz w:val="20"/>
        </w:rPr>
        <w:t xml:space="preserve"> or the date of approval of a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(1) Notify the Administrator one month before starting use of the CEMS, and notify the Administrator one month before stopping use of the CEMS.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Each CEMS shall be installed, certified, operated, and maintained according to the requirements in §63.7540(a</w:t>
      </w:r>
      <w:proofErr w:type="gramStart"/>
      <w:r w:rsidRPr="00001714">
        <w:rPr>
          <w:rFonts w:ascii="Arial" w:hAnsi="Arial" w:cs="Arial"/>
          <w:sz w:val="20"/>
        </w:rPr>
        <w:t>)(</w:t>
      </w:r>
      <w:proofErr w:type="gramEnd"/>
      <w:r w:rsidRPr="00001714">
        <w:rPr>
          <w:rFonts w:ascii="Arial" w:hAnsi="Arial" w:cs="Arial"/>
          <w:sz w:val="20"/>
        </w:rPr>
        <w:t>14) for a mercury CEMS and §63.7540(a)(15) for a HCl CEMS.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new unit, you must complete the initial performance evaluation of the CEMS by the latest of the dates specified in paragraph (l</w:t>
      </w:r>
      <w:proofErr w:type="gramStart"/>
      <w:r w:rsidRPr="00001714">
        <w:rPr>
          <w:rFonts w:ascii="Arial" w:hAnsi="Arial" w:cs="Arial"/>
          <w:sz w:val="20"/>
        </w:rPr>
        <w:t>)(</w:t>
      </w:r>
      <w:proofErr w:type="gramEnd"/>
      <w:r w:rsidRPr="00001714">
        <w:rPr>
          <w:rFonts w:ascii="Arial" w:hAnsi="Arial" w:cs="Arial"/>
          <w:sz w:val="20"/>
        </w:rPr>
        <w:t>3)(i)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No later than July 30,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No later 180 days after the date of initial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No later 180 days after notifying the Administrator before starting to use the CEMS in place of performance testing or fuel analysis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an existing unit, you must complete the initial performance evaluation by the latter of the two dates specified in paragraph (l</w:t>
      </w:r>
      <w:proofErr w:type="gramStart"/>
      <w:r w:rsidRPr="00001714">
        <w:rPr>
          <w:rFonts w:ascii="Arial" w:hAnsi="Arial" w:cs="Arial"/>
          <w:sz w:val="20"/>
        </w:rPr>
        <w:t>)(</w:t>
      </w:r>
      <w:proofErr w:type="gramEnd"/>
      <w:r w:rsidRPr="00001714">
        <w:rPr>
          <w:rFonts w:ascii="Arial" w:hAnsi="Arial" w:cs="Arial"/>
          <w:sz w:val="20"/>
        </w:rPr>
        <w:t>4)(i)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No later 180 days after notifying the Administrator before starting to use the CEMS in place of performance testing or fuel analysis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Compliance with the applicable emissions limit shall be determined based on the 30-day rolling average of the hourly arithmetic average emissions rates using the continuous monitoring system outlet data. The 30-day rolling arithmetic average emission rate (lb/MMBtu) shall be calculated using the equations in EPA Reference Method 19 at 40 CFR part 60, appendix A-7, but substituting the mercury or HCl concentration for the pollutant concentrations normally used in Method 19.</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Collect CEMS hourly averages for all operating hours on a 30-day rolling average basis. Collect at least four CMS data values representing the four 15-minute periods in an hour, or at least two 15-minute data values during an hour when CMS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The one-hour arithmetic averages required shall be expressed in lb/MMBtu and shall be used to calculate the boiler 30-day and 10-day rolling average emissions.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You are allowed to substitute the use of the PM, mercury or HCl CEMS for the applicable fuel analysis, annual performance test, and operating limits specified in Table 4 to this subpart to demonstrate compliance with the PM, mercury or HCl emissions limit, and if you are using an acid gas wet scrubber or dry sorbent injection control technology to comply with the HCl emission limit, you are allowed to substitute the use of a sulfur dioxide (SO</w:t>
      </w:r>
      <w:r w:rsidRPr="00001714">
        <w:rPr>
          <w:rFonts w:ascii="Arial" w:hAnsi="Arial" w:cs="Arial"/>
          <w:sz w:val="20"/>
          <w:vertAlign w:val="subscript"/>
        </w:rPr>
        <w:t>2</w:t>
      </w:r>
      <w:r w:rsidRPr="00001714">
        <w:rPr>
          <w:rFonts w:ascii="Arial" w:hAnsi="Arial" w:cs="Arial"/>
          <w:sz w:val="20"/>
        </w:rPr>
        <w:t>) CEMS for the applicable fuel analysis, annual performance test, and operating limits specified in Table 4 to this subpart to demonstrate compliance with HCl emissions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If your unit is subject to a HCl emission limit in Tables 1, 2, or 11 through 13 of this subpart and you have an acid gas wet scrubber or dry sorbent injection control technology and you use an SO</w:t>
      </w:r>
      <w:r w:rsidRPr="00001714">
        <w:rPr>
          <w:rFonts w:ascii="Arial" w:hAnsi="Arial" w:cs="Arial"/>
          <w:sz w:val="20"/>
          <w:vertAlign w:val="subscript"/>
        </w:rPr>
        <w:t>2</w:t>
      </w:r>
      <w:r w:rsidRPr="00001714">
        <w:rPr>
          <w:rFonts w:ascii="Arial" w:hAnsi="Arial" w:cs="Arial"/>
          <w:sz w:val="20"/>
        </w:rPr>
        <w:t xml:space="preserve"> CEMS, you must install the monitor at the outlet of the boiler or process heater, downstream of all emission control devices, and you must install, certify, operate, and maintain the CEMS according to part 75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SO</w:t>
      </w:r>
      <w:r w:rsidRPr="00001714">
        <w:rPr>
          <w:rFonts w:ascii="Arial" w:hAnsi="Arial" w:cs="Arial"/>
          <w:sz w:val="20"/>
          <w:vertAlign w:val="subscript"/>
        </w:rPr>
        <w:t>2</w:t>
      </w:r>
      <w:r w:rsidRPr="00001714">
        <w:rPr>
          <w:rFonts w:ascii="Arial" w:hAnsi="Arial" w:cs="Arial"/>
          <w:sz w:val="20"/>
        </w:rPr>
        <w:t xml:space="preserve"> CEMS must be installed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(2) For on-going quality assurance (QA), the SO</w:t>
      </w:r>
      <w:r w:rsidRPr="00001714">
        <w:rPr>
          <w:rFonts w:ascii="Arial" w:hAnsi="Arial" w:cs="Arial"/>
          <w:sz w:val="20"/>
          <w:vertAlign w:val="subscript"/>
        </w:rPr>
        <w:t>2</w:t>
      </w:r>
      <w:r w:rsidRPr="00001714">
        <w:rPr>
          <w:rFonts w:ascii="Arial" w:hAnsi="Arial" w:cs="Arial"/>
          <w:sz w:val="20"/>
        </w:rPr>
        <w:t xml:space="preserve"> CEMS must meet the applicable daily, quarterly, and semiannual or annual requirements in sections 2.1 through 2.3 of appendix B to part 75 of this chapter, with the following addition: You must perform the linearity checks required in section 2.2 of appendix B to part 75 of this chapter if the SO</w:t>
      </w:r>
      <w:r w:rsidRPr="00001714">
        <w:rPr>
          <w:rFonts w:ascii="Arial" w:hAnsi="Arial" w:cs="Arial"/>
          <w:sz w:val="20"/>
          <w:vertAlign w:val="subscript"/>
        </w:rPr>
        <w:t>2</w:t>
      </w:r>
      <w:r w:rsidRPr="00001714">
        <w:rPr>
          <w:rFonts w:ascii="Arial" w:hAnsi="Arial" w:cs="Arial"/>
          <w:sz w:val="20"/>
        </w:rPr>
        <w:t xml:space="preserve"> CEMS has a span value of 30 ppm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new unit, the initial performance evaluation shall be completed no later than July 30, 2013, or 180 days after the date of initial startup, whichever is later. For an existing unit, the initial performance evaluation shall be completed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purposes of collecting SO</w:t>
      </w:r>
      <w:r w:rsidRPr="00001714">
        <w:rPr>
          <w:rFonts w:ascii="Arial" w:hAnsi="Arial" w:cs="Arial"/>
          <w:sz w:val="20"/>
          <w:vertAlign w:val="subscript"/>
        </w:rPr>
        <w:t>2</w:t>
      </w:r>
      <w:r w:rsidRPr="00001714">
        <w:rPr>
          <w:rFonts w:ascii="Arial" w:hAnsi="Arial" w:cs="Arial"/>
          <w:sz w:val="20"/>
        </w:rPr>
        <w:t xml:space="preserve"> data, you must operate the SO</w:t>
      </w:r>
      <w:r w:rsidRPr="00001714">
        <w:rPr>
          <w:rFonts w:ascii="Arial" w:hAnsi="Arial" w:cs="Arial"/>
          <w:sz w:val="20"/>
          <w:vertAlign w:val="subscript"/>
        </w:rPr>
        <w:t>2</w:t>
      </w:r>
      <w:r w:rsidRPr="00001714">
        <w:rPr>
          <w:rFonts w:ascii="Arial" w:hAnsi="Arial" w:cs="Arial"/>
          <w:sz w:val="20"/>
        </w:rPr>
        <w:t xml:space="preserve"> CEMS as specified in §63.7535(b). You must use all the data collected during all periods in calculating data averages and assessing compliance, except that you must exclude certain data as specified in §63.7535(c). Periods when SO</w:t>
      </w:r>
      <w:r w:rsidRPr="00001714">
        <w:rPr>
          <w:rFonts w:ascii="Arial" w:hAnsi="Arial" w:cs="Arial"/>
          <w:sz w:val="20"/>
          <w:vertAlign w:val="subscript"/>
        </w:rPr>
        <w:t>2</w:t>
      </w:r>
      <w:r w:rsidRPr="00001714">
        <w:rPr>
          <w:rFonts w:ascii="Arial" w:hAnsi="Arial" w:cs="Arial"/>
          <w:sz w:val="20"/>
        </w:rPr>
        <w:t xml:space="preserve"> data are unavailable may constitute monitoring deviations as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Collect CEMS hourly averages for all operating hours on a 30-day rolling average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Use only unadjusted, quality-assured SO</w:t>
      </w:r>
      <w:r w:rsidRPr="00001714">
        <w:rPr>
          <w:rFonts w:ascii="Arial" w:hAnsi="Arial" w:cs="Arial"/>
          <w:sz w:val="20"/>
          <w:vertAlign w:val="subscript"/>
        </w:rPr>
        <w:t>2</w:t>
      </w:r>
      <w:r w:rsidRPr="00001714">
        <w:rPr>
          <w:rFonts w:ascii="Arial" w:hAnsi="Arial" w:cs="Arial"/>
          <w:sz w:val="20"/>
        </w:rPr>
        <w:t xml:space="preserve"> concentration values in the emissions calculations; do not apply bias adjustment factors to the part 75 SO</w:t>
      </w:r>
      <w:r w:rsidRPr="00001714">
        <w:rPr>
          <w:rFonts w:ascii="Arial" w:hAnsi="Arial" w:cs="Arial"/>
          <w:sz w:val="20"/>
          <w:vertAlign w:val="subscript"/>
        </w:rPr>
        <w:t>2</w:t>
      </w:r>
      <w:r w:rsidRPr="00001714">
        <w:rPr>
          <w:rFonts w:ascii="Arial" w:hAnsi="Arial" w:cs="Arial"/>
          <w:sz w:val="20"/>
        </w:rPr>
        <w:t xml:space="preserve"> data and do not use part 75 substitute data values.</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7171, Jan. 31, 2013]</w:t>
      </w:r>
    </w:p>
    <w:p w:rsidR="00F0171B" w:rsidRPr="00001714" w:rsidRDefault="0036167B" w:rsidP="00F0171B">
      <w:pPr>
        <w:spacing w:before="200" w:after="100" w:afterAutospacing="1"/>
        <w:rPr>
          <w:rFonts w:ascii="Arial" w:hAnsi="Arial" w:cs="Arial"/>
          <w:sz w:val="20"/>
        </w:rPr>
      </w:pPr>
      <w:hyperlink r:id="rId130" w:anchor="_top" w:history="1">
        <w:r w:rsidR="00F0171B" w:rsidRPr="00001714">
          <w:rPr>
            <w:rFonts w:ascii="Arial" w:hAnsi="Arial" w:cs="Arial"/>
            <w:noProof/>
            <w:color w:val="0000FF"/>
            <w:sz w:val="20"/>
          </w:rPr>
          <w:drawing>
            <wp:inline distT="0" distB="0" distL="0" distR="0">
              <wp:extent cx="152400" cy="152400"/>
              <wp:effectExtent l="0" t="0" r="0" b="0"/>
              <wp:docPr id="85" name="Picture 85"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1" w:name="40:14.0.1.1.1.5.140.16"/>
      <w:bookmarkEnd w:id="21"/>
      <w:r w:rsidRPr="00001714">
        <w:rPr>
          <w:rFonts w:ascii="Arial" w:hAnsi="Arial" w:cs="Arial"/>
          <w:b/>
          <w:bCs/>
          <w:sz w:val="20"/>
        </w:rPr>
        <w:t xml:space="preserve">§63.7530 </w:t>
      </w:r>
      <w:proofErr w:type="gramStart"/>
      <w:r w:rsidRPr="00001714">
        <w:rPr>
          <w:rFonts w:ascii="Arial" w:hAnsi="Arial" w:cs="Arial"/>
          <w:b/>
          <w:bCs/>
          <w:sz w:val="20"/>
        </w:rPr>
        <w:t>How</w:t>
      </w:r>
      <w:proofErr w:type="gramEnd"/>
      <w:r w:rsidRPr="00001714">
        <w:rPr>
          <w:rFonts w:ascii="Arial" w:hAnsi="Arial" w:cs="Arial"/>
          <w:b/>
          <w:bCs/>
          <w:sz w:val="20"/>
        </w:rPr>
        <w:t xml:space="preserve"> do I demonstrate initial compliance with the emission limitations, fuel specifications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demonstrate initial compliance with each emission limit that applies to you by conducting initial performance tests and fuel analyses and establishing operating limits, as applicable, according to §63.7520, paragraphs (b) and (c) of this section, and Tables 5 and 7 to this subpart. The requirement to conduct a fuel analysis is not applicable for units that burn a single type of fuel, as specified by §63.7510(a</w:t>
      </w:r>
      <w:proofErr w:type="gramStart"/>
      <w:r w:rsidRPr="00001714">
        <w:rPr>
          <w:rFonts w:ascii="Arial" w:hAnsi="Arial" w:cs="Arial"/>
          <w:sz w:val="20"/>
        </w:rPr>
        <w:t>)(</w:t>
      </w:r>
      <w:proofErr w:type="gramEnd"/>
      <w:r w:rsidRPr="00001714">
        <w:rPr>
          <w:rFonts w:ascii="Arial" w:hAnsi="Arial" w:cs="Arial"/>
          <w:sz w:val="20"/>
        </w:rPr>
        <w:t>2)(i). If applicable, you must also install, operate, and maintain all applicable CMS (including CEMS, COMS, and CPMS) according to §63.7525.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 demonstrate compliance through performance testing, you must establish each site-specific operating limit in Table 4 to this subpart that applies to you according to the requirements in §63.7520, Table 7 to this subpart, and paragraph (b)(4) of this section, as applicable. You must also conduct fuel analyses according to §63.7521 and establish maximum fuel pollutant input levels according to paragraphs (b</w:t>
      </w:r>
      <w:proofErr w:type="gramStart"/>
      <w:r w:rsidRPr="00001714">
        <w:rPr>
          <w:rFonts w:ascii="Arial" w:hAnsi="Arial" w:cs="Arial"/>
          <w:sz w:val="20"/>
        </w:rPr>
        <w:t>)(</w:t>
      </w:r>
      <w:proofErr w:type="gramEnd"/>
      <w:r w:rsidRPr="00001714">
        <w:rPr>
          <w:rFonts w:ascii="Arial" w:hAnsi="Arial" w:cs="Arial"/>
          <w:sz w:val="20"/>
        </w:rPr>
        <w:t>1) through (3) of this section, as applicable, and as specified in §63.7510(a)(2). (Note that §63.7510(a</w:t>
      </w:r>
      <w:proofErr w:type="gramStart"/>
      <w:r w:rsidRPr="00001714">
        <w:rPr>
          <w:rFonts w:ascii="Arial" w:hAnsi="Arial" w:cs="Arial"/>
          <w:sz w:val="20"/>
        </w:rPr>
        <w:t>)(</w:t>
      </w:r>
      <w:proofErr w:type="gramEnd"/>
      <w:r w:rsidRPr="00001714">
        <w:rPr>
          <w:rFonts w:ascii="Arial" w:hAnsi="Arial" w:cs="Arial"/>
          <w:sz w:val="20"/>
        </w:rPr>
        <w:t>2) exempts certain fuels from the fuel analysis requirements.) However, if you switch fuel(s) and cannot show that the new fuel(s) does (do) not increase the chlorine, mercury, or TSM input into the unit through the results of fuel analysis, then you must repeat the performance test to demonstrate compliance while burning the new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establish the maximum chlorine fuel input (Clinput) during the initial fuel analysis according to the procedures in paragraphs (b</w:t>
      </w:r>
      <w:proofErr w:type="gramStart"/>
      <w:r w:rsidRPr="00001714">
        <w:rPr>
          <w:rFonts w:ascii="Arial" w:hAnsi="Arial" w:cs="Arial"/>
          <w:sz w:val="20"/>
        </w:rPr>
        <w:t>)(</w:t>
      </w:r>
      <w:proofErr w:type="gramEnd"/>
      <w:r w:rsidRPr="00001714">
        <w:rPr>
          <w:rFonts w:ascii="Arial" w:hAnsi="Arial" w:cs="Arial"/>
          <w:sz w:val="20"/>
        </w:rPr>
        <w:t>1)(i)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fuel analysis for hydrogen chloride, you must determine the fraction of the total heat input for each fuel type burned (Qi) based on the fuel mixture that has the highest content of chlorine, and the average chlorine concentration of each fuel type burned (Ci).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(iii) You must establish a maximum chlorine input level using Equation 7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31620" cy="259080"/>
            <wp:effectExtent l="0" t="0" r="0" b="0"/>
            <wp:docPr id="84" name="Picture 84"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1mr11.006.gif"/>
                    <pic:cNvPicPr>
                      <a:picLocks noChangeAspect="1"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1620" cy="2590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3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Clinput = Maximum amount of chlorine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Ci = Arithmetic average concentration of chlorine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establish the maximum mercury fuel input level (Mercuryinput) during the initial fuel analysis using the procedures in paragraphs (b</w:t>
      </w:r>
      <w:proofErr w:type="gramStart"/>
      <w:r w:rsidRPr="00001714">
        <w:rPr>
          <w:rFonts w:ascii="Arial" w:hAnsi="Arial" w:cs="Arial"/>
          <w:sz w:val="20"/>
        </w:rPr>
        <w:t>)(</w:t>
      </w:r>
      <w:proofErr w:type="gramEnd"/>
      <w:r w:rsidRPr="00001714">
        <w:rPr>
          <w:rFonts w:ascii="Arial" w:hAnsi="Arial" w:cs="Arial"/>
          <w:sz w:val="20"/>
        </w:rPr>
        <w:t>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compliance demonstration for mercury, you must determine the fraction of total heat input for each fuel burned (Qi) based on the fuel mixture that has the highest content of mercury, and the average mercury concentration of each fuel type burned (HGi).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establish a maximum mercury input level using Equation 8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019300" cy="259080"/>
            <wp:effectExtent l="0" t="0" r="0" b="0"/>
            <wp:docPr id="83" name="Picture 83"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21mr11.007.gif"/>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2590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3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Mercuryinput = Maximum amount of mercury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HGi = Arithmetic average concentration of mercury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mercury content. If you do not burn multiple fuel types during the performance test,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(3) If you opt to comply with the alternative TSM limit, you must establish the maximum TSM fuel input (TSMinput) for solid or liquid fuels during the initial fuel analysis according to the procedures in paragraphs (b)(3)(i)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fuel analysis for TSM, you must determine the fraction of the total heat input for each fuel type burned (Qi) based on the fuel mixture that has the highest content of TSM, and the average TSM concentration of each fuel type burned (TSMi).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establish a maximum TSM input level using Equation 9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66900" cy="266700"/>
            <wp:effectExtent l="0" t="0" r="0" b="0"/>
            <wp:docPr id="82" name="Picture 82"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31ja13.013.gif"/>
                    <pic:cNvPicPr>
                      <a:picLocks noChangeAspect="1" noChangeArrowheads="1"/>
                    </pic:cNvPicPr>
                  </pic:nvPicPr>
                  <pic:blipFill>
                    <a:blip r:embed="rId1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2667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3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TSMinput = Maximum amount of TSM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 = Arithmetic average concentration of TSM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establish parameter operating limits according to paragraphs (b</w:t>
      </w:r>
      <w:proofErr w:type="gramStart"/>
      <w:r w:rsidRPr="00001714">
        <w:rPr>
          <w:rFonts w:ascii="Arial" w:hAnsi="Arial" w:cs="Arial"/>
          <w:sz w:val="20"/>
        </w:rPr>
        <w:t>)(</w:t>
      </w:r>
      <w:proofErr w:type="gramEnd"/>
      <w:r w:rsidRPr="00001714">
        <w:rPr>
          <w:rFonts w:ascii="Arial" w:hAnsi="Arial" w:cs="Arial"/>
          <w:sz w:val="20"/>
        </w:rPr>
        <w:t>4)(i) through (ix) of this section. As indicated in Table 4 to this subpart, you are not required to establish and comply with the operating parameter limits when you are using a CEMS to monitor and demonstrate compliance with the applicable emission limit for that control device parameter.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 wet acid gas scrubber, you must establish the minimum scrubber effluent pH and liquid flow rate as defined in §63.7575, as your operating limits during the performance test during which you demonstrate compliance with your applicable limit. If you use a wet scrubber and you conduct separate performance tests for HCl and mercury emissions, you must establish one set of minimum scrubber effluent pH, liquid flow rate, and pressure drop operating limits. The minimum scrubber effluent pH operating limit must be established during the HCl performance test. If you conduct multiple performance tests, you must set the minimum liquid flow rate operating limit at the higher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any particulate control device (e.g., ESP, particulate wet scrubber, fabric filter) for which you use a PM CPMS, you must establish your PM CPMS operating limit and determine compliance with it according to paragraphs (b)(4)(ii)(A) through (F)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(A) Determine your operating limit as the average PM CPMS output value recorded during the most recent performance test run demonstrating compliance with the filterable PM emission limit or at the PM CPMS output value corresponding to 75 percent of the emission limit if your PM performance test demonstrates compliance </w:t>
      </w:r>
      <w:r w:rsidRPr="00001714">
        <w:rPr>
          <w:rFonts w:ascii="Arial" w:hAnsi="Arial" w:cs="Arial"/>
          <w:sz w:val="20"/>
        </w:rPr>
        <w:lastRenderedPageBreak/>
        <w:t>below 75 percent of the emission limit. You must verify an existing or establish a new operating limit after each repeated performance test. You must repeat the performance test annually and reassess and adjust the site-specific operating limit in accordance with the results of the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1</w:t>
      </w:r>
      <w:r w:rsidRPr="00001714">
        <w:rPr>
          <w:rFonts w:ascii="Arial" w:hAnsi="Arial" w:cs="Arial"/>
          <w:sz w:val="20"/>
        </w:rPr>
        <w:t>) Your PM CPMS must provide a 4-20 milliamp output and the establishment of its relationship to manual reference method measurements must be determined in units of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2</w:t>
      </w:r>
      <w:r w:rsidRPr="00001714">
        <w:rPr>
          <w:rFonts w:ascii="Arial" w:hAnsi="Arial" w:cs="Arial"/>
          <w:sz w:val="20"/>
        </w:rPr>
        <w:t>)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3</w:t>
      </w:r>
      <w:r w:rsidRPr="00001714">
        <w:rPr>
          <w:rFonts w:ascii="Arial" w:hAnsi="Arial" w:cs="Arial"/>
          <w:sz w:val="20"/>
        </w:rPr>
        <w:t>) During the initial performance test or any such subsequent performance test that demonstrates compliance with the PM limit, record and average all milliamp output values from the PM CPMS for the periods corresponding to the compliance test runs (e.g., average all your PM CPMS output values for three corresponding 2-hour Method 5I test runs).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the average of your three PM performance test runs are below 75 percent of your PM emission limit, you must calculate an operating limit by establishing a relationship of PM CPMS signal to PM concentration using the PM CPMS instrument zero, the average PM CPMS values corresponding to the three compliance test runs, and the average PM concentration from the Method 5 or performance test with the procedures in paragraphs (b)(4)(ii)(B)(</w:t>
      </w:r>
      <w:r w:rsidRPr="00001714">
        <w:rPr>
          <w:rFonts w:ascii="Arial" w:hAnsi="Arial" w:cs="Arial"/>
          <w:i/>
          <w:iCs/>
          <w:sz w:val="20"/>
        </w:rPr>
        <w:t>1</w:t>
      </w:r>
      <w:r w:rsidRPr="00001714">
        <w:rPr>
          <w:rFonts w:ascii="Arial" w:hAnsi="Arial" w:cs="Arial"/>
          <w:sz w:val="20"/>
        </w:rPr>
        <w:t>) through (</w:t>
      </w:r>
      <w:r w:rsidRPr="00001714">
        <w:rPr>
          <w:rFonts w:ascii="Arial" w:hAnsi="Arial" w:cs="Arial"/>
          <w:i/>
          <w:iCs/>
          <w:sz w:val="20"/>
        </w:rPr>
        <w:t>4</w:t>
      </w:r>
      <w:r w:rsidRPr="00001714">
        <w:rPr>
          <w:rFonts w:ascii="Arial" w:hAnsi="Arial" w:cs="Arial"/>
          <w:sz w:val="20"/>
        </w:rPr>
        <w:t>)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1</w:t>
      </w:r>
      <w:r w:rsidRPr="00001714">
        <w:rPr>
          <w:rFonts w:ascii="Arial" w:hAnsi="Arial" w:cs="Arial"/>
          <w:sz w:val="20"/>
        </w:rPr>
        <w:t>) Determine your instrument zero output with one of the following procedures: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w:t>
      </w:r>
      <w:r w:rsidRPr="00001714">
        <w:rPr>
          <w:rFonts w:ascii="Arial" w:hAnsi="Arial" w:cs="Arial"/>
          <w:sz w:val="20"/>
        </w:rPr>
        <w:t xml:space="preserve">) Zero point data for </w:t>
      </w:r>
      <w:r w:rsidRPr="00001714">
        <w:rPr>
          <w:rFonts w:ascii="Arial" w:hAnsi="Arial" w:cs="Arial"/>
          <w:i/>
          <w:iCs/>
          <w:sz w:val="20"/>
        </w:rPr>
        <w:t>in-situ</w:t>
      </w:r>
      <w:r w:rsidRPr="00001714">
        <w:rPr>
          <w:rFonts w:ascii="Arial" w:hAnsi="Arial" w:cs="Arial"/>
          <w:sz w:val="20"/>
        </w:rPr>
        <w:t xml:space="preserve"> instruments should be obtained by removing the instrument from the stack and monitoring ambient air on a test bench.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ii</w:t>
      </w:r>
      <w:r w:rsidRPr="00001714">
        <w:rPr>
          <w:rFonts w:ascii="Arial" w:hAnsi="Arial" w:cs="Arial"/>
          <w:sz w:val="20"/>
        </w:rPr>
        <w:t xml:space="preserve">) Zero point data for </w:t>
      </w:r>
      <w:r w:rsidRPr="00001714">
        <w:rPr>
          <w:rFonts w:ascii="Arial" w:hAnsi="Arial" w:cs="Arial"/>
          <w:i/>
          <w:iCs/>
          <w:sz w:val="20"/>
        </w:rPr>
        <w:t>extractive</w:t>
      </w:r>
      <w:r w:rsidRPr="00001714">
        <w:rPr>
          <w:rFonts w:ascii="Arial" w:hAnsi="Arial" w:cs="Arial"/>
          <w:sz w:val="20"/>
        </w:rPr>
        <w:t xml:space="preserve"> instruments should be obtained by removing the extractive probe from the stack and drawing in clean ambient air.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iii</w:t>
      </w:r>
      <w:r w:rsidRPr="00001714">
        <w:rPr>
          <w:rFonts w:ascii="Arial" w:hAnsi="Arial" w:cs="Arial"/>
          <w:sz w:val="20"/>
        </w:rPr>
        <w:t>) The zero point may also be established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iv</w:t>
      </w:r>
      <w:r w:rsidRPr="00001714">
        <w:rPr>
          <w:rFonts w:ascii="Arial" w:hAnsi="Arial" w:cs="Arial"/>
          <w:sz w:val="20"/>
        </w:rPr>
        <w:t>) If none of the steps in paragraphs (b</w:t>
      </w:r>
      <w:proofErr w:type="gramStart"/>
      <w:r w:rsidRPr="00001714">
        <w:rPr>
          <w:rFonts w:ascii="Arial" w:hAnsi="Arial" w:cs="Arial"/>
          <w:sz w:val="20"/>
        </w:rPr>
        <w:t>)(</w:t>
      </w:r>
      <w:proofErr w:type="gramEnd"/>
      <w:r w:rsidRPr="00001714">
        <w:rPr>
          <w:rFonts w:ascii="Arial" w:hAnsi="Arial" w:cs="Arial"/>
          <w:sz w:val="20"/>
        </w:rPr>
        <w:t>4)(ii)(B)(</w:t>
      </w:r>
      <w:r w:rsidRPr="00001714">
        <w:rPr>
          <w:rFonts w:ascii="Arial" w:hAnsi="Arial" w:cs="Arial"/>
          <w:i/>
          <w:iCs/>
          <w:sz w:val="20"/>
        </w:rPr>
        <w:t>1</w:t>
      </w:r>
      <w:r w:rsidRPr="00001714">
        <w:rPr>
          <w:rFonts w:ascii="Arial" w:hAnsi="Arial" w:cs="Arial"/>
          <w:sz w:val="20"/>
        </w:rPr>
        <w:t>)(</w:t>
      </w:r>
      <w:r w:rsidRPr="00001714">
        <w:rPr>
          <w:rFonts w:ascii="Arial" w:hAnsi="Arial" w:cs="Arial"/>
          <w:i/>
          <w:iCs/>
          <w:sz w:val="20"/>
        </w:rPr>
        <w:t>i</w:t>
      </w:r>
      <w:r w:rsidRPr="00001714">
        <w:rPr>
          <w:rFonts w:ascii="Arial" w:hAnsi="Arial" w:cs="Arial"/>
          <w:sz w:val="20"/>
        </w:rPr>
        <w:t>) through (</w:t>
      </w:r>
      <w:r w:rsidRPr="00001714">
        <w:rPr>
          <w:rFonts w:ascii="Arial" w:hAnsi="Arial" w:cs="Arial"/>
          <w:i/>
          <w:iCs/>
          <w:sz w:val="20"/>
        </w:rPr>
        <w:t>iii</w:t>
      </w:r>
      <w:r w:rsidRPr="00001714">
        <w:rPr>
          <w:rFonts w:ascii="Arial" w:hAnsi="Arial" w:cs="Arial"/>
          <w:sz w:val="20"/>
        </w:rPr>
        <w:t>) of this section are possible, you must use a zero output value provided by the manufacturer.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2</w:t>
      </w:r>
      <w:r w:rsidRPr="00001714">
        <w:rPr>
          <w:rFonts w:ascii="Arial" w:hAnsi="Arial" w:cs="Arial"/>
          <w:sz w:val="20"/>
        </w:rPr>
        <w:t>) Determine your PM CPMS instrument average in milliamps, and the average of your corresponding three PM compliance test runs, using equation 10.</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973580" cy="304800"/>
            <wp:effectExtent l="0" t="0" r="0" b="0"/>
            <wp:docPr id="81" name="Picture 81" descr="eCFR graphic er31ja1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31ja13.014.gif"/>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3580" cy="3048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3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PM CPMS data points for the three runs constituting the performance test,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Y</w:t>
      </w:r>
      <w:r w:rsidRPr="00001714">
        <w:rPr>
          <w:rFonts w:ascii="Arial" w:hAnsi="Arial" w:cs="Arial"/>
          <w:sz w:val="20"/>
          <w:vertAlign w:val="subscript"/>
        </w:rPr>
        <w:t>1</w:t>
      </w:r>
      <w:r w:rsidRPr="00001714">
        <w:rPr>
          <w:rFonts w:ascii="Arial" w:hAnsi="Arial" w:cs="Arial"/>
          <w:sz w:val="20"/>
        </w:rPr>
        <w:t xml:space="preserve"> = the PM concentration value for the three runs constituting the performance test,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n = the number of data points.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3</w:t>
      </w:r>
      <w:r w:rsidRPr="00001714">
        <w:rPr>
          <w:rFonts w:ascii="Arial" w:hAnsi="Arial" w:cs="Arial"/>
          <w:sz w:val="20"/>
        </w:rPr>
        <w:t>) With your instrument zero expressed in milliamps, your three run average PM CPMS milliamp value, and your three run average PM concentration from your three compliance tests, determine a relationship of lb/MMBtu per milliamp with equation 11.</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08760" cy="304800"/>
            <wp:effectExtent l="0" t="0" r="0" b="0"/>
            <wp:docPr id="80" name="Picture 80" descr="eCFR graphic er31ja1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31ja13.015.gif"/>
                    <pic:cNvPicPr>
                      <a:picLocks noChangeAspect="1" noChangeArrowheads="1"/>
                    </pic:cNvPicPr>
                  </pic:nvPicPr>
                  <pic:blipFill>
                    <a:blip r:embed="rId1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8760" cy="3048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4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R = the relative lb/MMBtu per milliamp for your PM CPMS,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Y</w:t>
      </w:r>
      <w:r w:rsidRPr="00001714">
        <w:rPr>
          <w:rFonts w:ascii="Arial" w:hAnsi="Arial" w:cs="Arial"/>
          <w:sz w:val="20"/>
          <w:vertAlign w:val="subscript"/>
        </w:rPr>
        <w:t>1</w:t>
      </w:r>
      <w:r w:rsidRPr="00001714">
        <w:rPr>
          <w:rFonts w:ascii="Arial" w:hAnsi="Arial" w:cs="Arial"/>
          <w:sz w:val="20"/>
        </w:rPr>
        <w:t xml:space="preserve"> = the three run average lb/MMBtu PM concentration,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three run average milliamp output from you PM CPMS,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z = the milliamp equivalent of your instrument zero determined from (B</w:t>
      </w:r>
      <w:proofErr w:type="gramStart"/>
      <w:r w:rsidRPr="00001714">
        <w:rPr>
          <w:rFonts w:ascii="Arial" w:hAnsi="Arial" w:cs="Arial"/>
          <w:sz w:val="20"/>
        </w:rPr>
        <w:t>)(</w:t>
      </w:r>
      <w:proofErr w:type="gramEnd"/>
      <w:r w:rsidRPr="00001714">
        <w:rPr>
          <w:rFonts w:ascii="Arial" w:hAnsi="Arial" w:cs="Arial"/>
          <w:sz w:val="20"/>
        </w:rPr>
        <w:t>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4</w:t>
      </w:r>
      <w:r w:rsidRPr="00001714">
        <w:rPr>
          <w:rFonts w:ascii="Arial" w:hAnsi="Arial" w:cs="Arial"/>
          <w:sz w:val="20"/>
        </w:rPr>
        <w:t>) Determine your source specific 30-day rolling average operating limit using the lb/MMBtu per milliamp value from Equation 11 in equation 12, below. This sets your operating limit at the PM CPMS output value corresponding to 75 percent of your emission limit.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54480" cy="213360"/>
            <wp:effectExtent l="0" t="0" r="0" b="0"/>
            <wp:docPr id="79" name="Picture 79" descr="eCFR graphic er31ja1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31ja13.016.gif"/>
                    <pic:cNvPicPr>
                      <a:picLocks noChangeAspect="1" noChangeArrowheads="1"/>
                    </pic:cNvPicPr>
                  </pic:nvPicPr>
                  <pic:blipFill>
                    <a:blip r:embed="rId1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1336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4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O</w:t>
      </w:r>
      <w:r w:rsidRPr="00001714">
        <w:rPr>
          <w:rFonts w:ascii="Arial" w:hAnsi="Arial" w:cs="Arial"/>
          <w:sz w:val="20"/>
          <w:vertAlign w:val="subscript"/>
        </w:rPr>
        <w:t>l</w:t>
      </w:r>
      <w:r w:rsidRPr="00001714">
        <w:rPr>
          <w:rFonts w:ascii="Arial" w:hAnsi="Arial" w:cs="Arial"/>
          <w:sz w:val="20"/>
        </w:rPr>
        <w:t xml:space="preserve"> = the operating limit for your PM CPMS on a 30-day rolling average, in milliamps.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L = your source emission limit expressed in lb/MMBtu,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z = your instrument zero in milliamps, determined from (B</w:t>
      </w:r>
      <w:proofErr w:type="gramStart"/>
      <w:r w:rsidRPr="00001714">
        <w:rPr>
          <w:rFonts w:ascii="Arial" w:hAnsi="Arial" w:cs="Arial"/>
          <w:sz w:val="20"/>
        </w:rPr>
        <w:t>)(</w:t>
      </w:r>
      <w:proofErr w:type="gramEnd"/>
      <w:r w:rsidRPr="00001714">
        <w:rPr>
          <w:rFonts w:ascii="Arial" w:hAnsi="Arial" w:cs="Arial"/>
          <w:sz w:val="20"/>
        </w:rPr>
        <w:t>i),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R = the relative lb/MMBtu per milliamp for your PM CPMS, from Equation 11.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the average of your three PM compliance test runs is at or above 75 percent of your PM emission limit you must determine your 30-day rolling average operating limit by averaging the PM CPMS milliamp output corresponding to your three PM performance test runs that demonstrate compliance with the emission limit using equation 13 and you must submit all compliance test and PM CPMS data according to the reporting requirements in paragraph (b</w:t>
      </w:r>
      <w:proofErr w:type="gramStart"/>
      <w:r w:rsidRPr="00001714">
        <w:rPr>
          <w:rFonts w:ascii="Arial" w:hAnsi="Arial" w:cs="Arial"/>
          <w:sz w:val="20"/>
        </w:rPr>
        <w:t>)(</w:t>
      </w:r>
      <w:proofErr w:type="gramEnd"/>
      <w:r w:rsidRPr="00001714">
        <w:rPr>
          <w:rFonts w:ascii="Arial" w:hAnsi="Arial" w:cs="Arial"/>
          <w:sz w:val="20"/>
        </w:rPr>
        <w:t>4)(ii)(F)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402080" cy="312420"/>
            <wp:effectExtent l="0" t="0" r="0" b="0"/>
            <wp:docPr id="78" name="Picture 78" descr="eCFR graphic er31ja1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31ja13.017.gif"/>
                    <pic:cNvPicPr>
                      <a:picLocks noChangeAspect="1" noChangeArrowheads="1"/>
                    </pic:cNvPicPr>
                  </pic:nvPicPr>
                  <pic:blipFill>
                    <a:blip r:embed="rId1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31242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4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PM CPMS data points for all runs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n = the number of data points,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O</w:t>
      </w:r>
      <w:r w:rsidRPr="00001714">
        <w:rPr>
          <w:rFonts w:ascii="Arial" w:hAnsi="Arial" w:cs="Arial"/>
          <w:sz w:val="20"/>
          <w:vertAlign w:val="subscript"/>
        </w:rPr>
        <w:t>h</w:t>
      </w:r>
      <w:r w:rsidRPr="00001714">
        <w:rPr>
          <w:rFonts w:ascii="Arial" w:hAnsi="Arial" w:cs="Arial"/>
          <w:sz w:val="20"/>
        </w:rPr>
        <w:t xml:space="preserve"> = your site specific operating limit, in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operating hour. Use Equation 14 to determine the 30-day rolling average.</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89760" cy="518160"/>
            <wp:effectExtent l="0" t="0" r="0" b="0"/>
            <wp:docPr id="77" name="Picture 77" descr="eCFR graphic er31ja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31ja13.018.gif"/>
                    <pic:cNvPicPr>
                      <a:picLocks noChangeAspect="1" noChangeArrowheads="1"/>
                    </pic:cNvPicPr>
                  </pic:nvPicPr>
                  <pic:blipFill>
                    <a:blip r:embed="rId1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9760" cy="51816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4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30-day = 30-day average.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Hpvi = is the hourly parameter value for hour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is the number of valid hourly parameter values collected over the previous 720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Use EPA Method 5 of appendix A to part 60 of this chapter to determine PM emissions. For each performance test, conduct three separate runs under the conditions that exist when the affected source is operating at the highest load or capacity level reasonably expected to occur. Conduct each test run to collect a minimum sample volume specified in Tables 1, 2, or 11 through 13 to this subpart, as applicable, for determining compliance with a new source limit or an existing source limit. Calculate the average of the results from three runs to determine compliance. You need not determine the PM collected in the impingers (“back half”) of the Method 5 particulate sampling train to demonstrate compliance with the PM standards of this subpart. This shall not preclude the permitting authority from requiring a determination of the “back half” for other purposes.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value equivalent to the instrument zero output, technique by which this zero value was determined, and the average milliamp signals corresponding to each PM compliance test run. (iii) For a particulate wet scrubber, you must establish the minimum pressure drop and liquid flow rate as defined in §63.7575, as your operating limits during the three-run performance test during which you demonstrate compliance with your applicable limit. If you use a wet scrubber and you conduct separate performance tests for PM and TSM emissions, you must establish one set of minimum scrubber liquid flow rate and pressure drop operating limits. The minimum scrubber effluent pH operating limit must be established during the HCl performance test. If you conduct multiple performance tests, you must set the minimum liquid flow rate and pressure drop operating limits at the higher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(iii) For an electrostatic precipitator (ESP) operated with a wet scrubber, you must establish the minimum total secondary electric power input, as defined in §63.7575, as your operating limit during the three-run performance test during which you demonstrate compliance with your applicable limit. (These operating limits do not apply to ESP that </w:t>
      </w:r>
      <w:proofErr w:type="gramStart"/>
      <w:r w:rsidRPr="00001714">
        <w:rPr>
          <w:rFonts w:ascii="Arial" w:hAnsi="Arial" w:cs="Arial"/>
          <w:sz w:val="20"/>
        </w:rPr>
        <w:t>are</w:t>
      </w:r>
      <w:proofErr w:type="gramEnd"/>
      <w:r w:rsidRPr="00001714">
        <w:rPr>
          <w:rFonts w:ascii="Arial" w:hAnsi="Arial" w:cs="Arial"/>
          <w:sz w:val="20"/>
        </w:rPr>
        <w:t xml:space="preserve"> operated as dry controls without a wet scrubber.)</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lastRenderedPageBreak/>
        <w:t>(iv) For</w:t>
      </w:r>
      <w:proofErr w:type="gramEnd"/>
      <w:r w:rsidRPr="00001714">
        <w:rPr>
          <w:rFonts w:ascii="Arial" w:hAnsi="Arial" w:cs="Arial"/>
          <w:sz w:val="20"/>
        </w:rPr>
        <w:t xml:space="preserve"> a dry scrubber, you must establish the minimum sorbent injection rate for each sorbent, as defined in §63.7575, as your operating limit during the three-run performance test during which you demonstrate compliance with your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activated carbon injection, you must establish the minimum activated carbon injection rate, as defined in §63.7575, as your operating limit during the three-run performance test during which you demonstrate compliance with your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The operating limit for boilers or process heaters with fabric filters that demonstrate continuous compliance through bag leak detection systems is that a bag leak detection system be installed according to the requirements in §63.7525, and that each fabric filter must be operated such that the bag leak detection system alert is not activated more than 5 percent of the operating time during a 6-month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For a minimum oxygen level, if you conduct multiple performance tests, you must set the minimum oxygen level at the lower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The operating limit for boilers or process heaters that demonstrate continuous compliance with the HCl emission limit using a SO</w:t>
      </w:r>
      <w:r w:rsidRPr="00001714">
        <w:rPr>
          <w:rFonts w:ascii="Arial" w:hAnsi="Arial" w:cs="Arial"/>
          <w:sz w:val="20"/>
          <w:vertAlign w:val="subscript"/>
        </w:rPr>
        <w:t>2</w:t>
      </w:r>
      <w:r w:rsidRPr="00001714">
        <w:rPr>
          <w:rFonts w:ascii="Arial" w:hAnsi="Arial" w:cs="Arial"/>
          <w:sz w:val="20"/>
        </w:rPr>
        <w:t xml:space="preserve"> CEMS is to install and operate the SO</w:t>
      </w:r>
      <w:r w:rsidRPr="00001714">
        <w:rPr>
          <w:rFonts w:ascii="Arial" w:hAnsi="Arial" w:cs="Arial"/>
          <w:sz w:val="20"/>
          <w:vertAlign w:val="subscript"/>
        </w:rPr>
        <w:t>2</w:t>
      </w:r>
      <w:r w:rsidRPr="00001714">
        <w:rPr>
          <w:rFonts w:ascii="Arial" w:hAnsi="Arial" w:cs="Arial"/>
          <w:sz w:val="20"/>
        </w:rPr>
        <w:t xml:space="preserve"> according to the requirements in §63.7525(m) establish a maximum SO</w:t>
      </w:r>
      <w:r w:rsidRPr="00001714">
        <w:rPr>
          <w:rFonts w:ascii="Arial" w:hAnsi="Arial" w:cs="Arial"/>
          <w:sz w:val="20"/>
          <w:vertAlign w:val="subscript"/>
        </w:rPr>
        <w:t>2</w:t>
      </w:r>
      <w:r w:rsidRPr="00001714">
        <w:rPr>
          <w:rFonts w:ascii="Arial" w:hAnsi="Arial" w:cs="Arial"/>
          <w:sz w:val="20"/>
        </w:rPr>
        <w:t xml:space="preserve"> emission rate equal to the highest hourly average SO</w:t>
      </w:r>
      <w:r w:rsidRPr="00001714">
        <w:rPr>
          <w:rFonts w:ascii="Arial" w:hAnsi="Arial" w:cs="Arial"/>
          <w:sz w:val="20"/>
          <w:vertAlign w:val="subscript"/>
        </w:rPr>
        <w:t>2</w:t>
      </w:r>
      <w:r w:rsidRPr="00001714">
        <w:rPr>
          <w:rFonts w:ascii="Arial" w:hAnsi="Arial" w:cs="Arial"/>
          <w:sz w:val="20"/>
        </w:rPr>
        <w:t xml:space="preserve"> measurement during the most recent three-run performance test for HCl.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elect to demonstrate compliance with an applicable emission limit through fuel analysis, you must conduct fuel analyses according to §63.7521 and follow the procedures in paragraphs (c</w:t>
      </w:r>
      <w:proofErr w:type="gramStart"/>
      <w:r w:rsidRPr="00001714">
        <w:rPr>
          <w:rFonts w:ascii="Arial" w:hAnsi="Arial" w:cs="Arial"/>
          <w:sz w:val="20"/>
        </w:rPr>
        <w:t>)(</w:t>
      </w:r>
      <w:proofErr w:type="gramEnd"/>
      <w:r w:rsidRPr="00001714">
        <w:rPr>
          <w:rFonts w:ascii="Arial" w:hAnsi="Arial" w:cs="Arial"/>
          <w:sz w:val="20"/>
        </w:rPr>
        <w:t>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burn more than one fuel type, you must determine the fuel mixture you could burn in your boiler or process heater that would result in the maximum emission rates of the pollutants that you elect to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determine the 90th percentile confidence level fuel pollutant concentration of the composite samples analyzed for each fuel type using the one-sided t-statistic test described in Equation 15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714500" cy="137160"/>
            <wp:effectExtent l="0" t="0" r="0" b="0"/>
            <wp:docPr id="76" name="Picture 76" descr="eCFR graphic er31ja1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31ja13.019.gif"/>
                    <pic:cNvPicPr>
                      <a:picLocks noChangeAspect="1" noChangeArrowheads="1"/>
                    </pic:cNvPicPr>
                  </pic:nvPicPr>
                  <pic:blipFill>
                    <a:blip r:embed="rId1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3716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4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P90 = 90th percentile confidence level pollutant concentration, in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Mean = Arithmetic average of the fuel pollutant concentration in the fuel samples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SD = Standard deviation of the mean of pollutant concentration in the fuel samples analyzed according to §63.7521, in units of pounds per million Btu. SD is calculated as the sample standard deviation divided by the square root of the number of samples.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 = t distribution critical value for 90th percentile (t</w:t>
      </w:r>
      <w:r w:rsidRPr="00001714">
        <w:rPr>
          <w:rFonts w:ascii="Arial" w:hAnsi="Arial" w:cs="Arial"/>
          <w:sz w:val="20"/>
          <w:vertAlign w:val="subscript"/>
        </w:rPr>
        <w:t>0.1</w:t>
      </w:r>
      <w:r w:rsidRPr="00001714">
        <w:rPr>
          <w:rFonts w:ascii="Arial" w:hAnsi="Arial" w:cs="Arial"/>
          <w:sz w:val="20"/>
        </w:rPr>
        <w:t>) probability for the appropriate degrees of freedom (number of samples minus one) as obtained from a t-Distribution Critical Value Table.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To demonstrate compliance with the applicable emission limit for HCl, the HCl emission rate that you calculate for your boiler or process heater using Equation 16 of this section must not exceed the applicable emission limit for HCl.</w:t>
      </w:r>
    </w:p>
    <w:p w:rsidR="00F0171B" w:rsidRPr="00001714" w:rsidRDefault="00F0171B" w:rsidP="00F0171B">
      <w:pPr>
        <w:rPr>
          <w:rFonts w:ascii="Arial" w:hAnsi="Arial" w:cs="Arial"/>
          <w:sz w:val="20"/>
        </w:rPr>
      </w:pPr>
      <w:r w:rsidRPr="00001714">
        <w:rPr>
          <w:rFonts w:ascii="Arial" w:hAnsi="Arial" w:cs="Arial"/>
          <w:noProof/>
          <w:sz w:val="20"/>
        </w:rPr>
        <w:lastRenderedPageBreak/>
        <w:drawing>
          <wp:inline distT="0" distB="0" distL="0" distR="0">
            <wp:extent cx="2446020" cy="281940"/>
            <wp:effectExtent l="0" t="0" r="0" b="0"/>
            <wp:docPr id="75" name="Picture 75" descr="eCFR graphic er31ja13.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31ja13.020.gif"/>
                    <pic:cNvPicPr>
                      <a:picLocks noChangeAspect="1" noChangeArrowheads="1"/>
                    </pic:cNvPicPr>
                  </pic:nvPicPr>
                  <pic:blipFill>
                    <a:blip r:embed="rId1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46020" cy="28194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5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HCl = HCl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Ci90 = 90th percentile confidence level concentration of chlorine in fuel type,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chlorine.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chlorine.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1.028 = Molecular weight ratio of HCl to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To demonstrate compliance with the applicable emission limit for mercury, the mercury emission rate that you calculate for your boiler or process heater using Equation 17 of this section must not exceed the applicable emission limit for mercury.</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461260" cy="342900"/>
            <wp:effectExtent l="0" t="0" r="0" b="0"/>
            <wp:docPr id="74" name="Picture 74" descr="eCFR graphic er31ja1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31ja13.021.gif"/>
                    <pic:cNvPicPr>
                      <a:picLocks noChangeAspect="1" noChangeArrowheads="1"/>
                    </pic:cNvPicPr>
                  </pic:nvPicPr>
                  <pic:blipFill>
                    <a:blip r:embed="rId1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1260" cy="34290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5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Mercury = Mercury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Hgi90 = 90th percentile confidence level concentration of mercury in fuel,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mercury content.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mercury content.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To demonstrate compliance with the applicable emission limit for TSM for solid or liquid fuels, the TSM emission rate that you calculate for your boiler or process heater from solid fuels using Equation 18 of this section must not exceed the applicable emission limit for TSM.</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171700" cy="312420"/>
            <wp:effectExtent l="0" t="0" r="0" b="0"/>
            <wp:docPr id="73" name="Picture 73" descr="eCFR graphic er31ja1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31ja13.022.gif"/>
                    <pic:cNvPicPr>
                      <a:picLocks noChangeAspect="1" noChangeArrowheads="1"/>
                    </pic:cNvPicPr>
                  </pic:nvPicPr>
                  <pic:blipFill>
                    <a:blip r:embed="rId1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31242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5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Metals = TSM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TSMi90 = 90th percentile confidence level concentration of TSM in fuel,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TSM content.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TSM content.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own or operate an existing unit with a heat input capacity of less than 10 million Btu per hour or a unit in the unit designed to burn gas 1 subcategory, you must submit a signed statement in the Notification of Compliance Status report that indicates that you conducted a tune-up of the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include with the Notification of Compliance Status a signed certification that the energy assessment was completed according to Table 3 to this subpart and is an accurate depiction of your facility at the time of the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submit the Notification of Compliance Status containing the results of the initial compliance demonstration according to the requirements in §63.7545(e).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elect to demonstrate that a gaseous fuel meets the specifications of another gas 1 fuel as defined in §63.7575, you must conduct an initial fuel specification analyses according to §63.7521(f) through (i) and according to the frequency listed in §63.7540(c) and maintain records of the results of the testing as outlined in §63.7555(g). For samples where the initial mercury specification has not been exceeded, you will include a signed certification with the Notification of Compliance Status that the initial fuel specification test meets the gas specification outlined in the definition of other gas 1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own or operate a unit subject to emission limits in Tables 1 or 2 or 11 through 13 to this subpart, you must meet the work practice standard according to Table 3 of this subpart. During startup and shutdown, you must only follow the work practice standards according to item 5 of Table 3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opt to comply with the alternative SO</w:t>
      </w:r>
      <w:r w:rsidRPr="00001714">
        <w:rPr>
          <w:rFonts w:ascii="Arial" w:hAnsi="Arial" w:cs="Arial"/>
          <w:sz w:val="20"/>
          <w:vertAlign w:val="subscript"/>
        </w:rPr>
        <w:t>2</w:t>
      </w:r>
      <w:r w:rsidRPr="00001714">
        <w:rPr>
          <w:rFonts w:ascii="Arial" w:hAnsi="Arial" w:cs="Arial"/>
          <w:sz w:val="20"/>
        </w:rPr>
        <w:t xml:space="preserve"> CEMS operating limit in Tables 4 and 8 to this subpart, you may do so only if your affected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(1) </w:t>
      </w:r>
      <w:proofErr w:type="gramStart"/>
      <w:r w:rsidRPr="00001714">
        <w:rPr>
          <w:rFonts w:ascii="Arial" w:hAnsi="Arial" w:cs="Arial"/>
          <w:sz w:val="20"/>
        </w:rPr>
        <w:t>Has</w:t>
      </w:r>
      <w:proofErr w:type="gramEnd"/>
      <w:r w:rsidRPr="00001714">
        <w:rPr>
          <w:rFonts w:ascii="Arial" w:hAnsi="Arial" w:cs="Arial"/>
          <w:sz w:val="20"/>
        </w:rPr>
        <w:t xml:space="preserve"> a system using wet scrubber or dry sorbent injection and SO</w:t>
      </w:r>
      <w:r w:rsidRPr="00001714">
        <w:rPr>
          <w:rFonts w:ascii="Arial" w:hAnsi="Arial" w:cs="Arial"/>
          <w:sz w:val="20"/>
          <w:vertAlign w:val="subscript"/>
        </w:rPr>
        <w:t>2</w:t>
      </w:r>
      <w:r w:rsidRPr="00001714">
        <w:rPr>
          <w:rFonts w:ascii="Arial" w:hAnsi="Arial" w:cs="Arial"/>
          <w:sz w:val="20"/>
        </w:rPr>
        <w:t xml:space="preserve"> CEMS installed on the unit;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At all times, you operate the wet scrubber or dry sorbent injection for acid gas control on the unit consistent with §63.7500(a</w:t>
      </w:r>
      <w:proofErr w:type="gramStart"/>
      <w:r w:rsidRPr="00001714">
        <w:rPr>
          <w:rFonts w:ascii="Arial" w:hAnsi="Arial" w:cs="Arial"/>
          <w:sz w:val="20"/>
        </w:rPr>
        <w:t>)(</w:t>
      </w:r>
      <w:proofErr w:type="gramEnd"/>
      <w:r w:rsidRPr="00001714">
        <w:rPr>
          <w:rFonts w:ascii="Arial" w:hAnsi="Arial" w:cs="Arial"/>
          <w:sz w:val="20"/>
        </w:rPr>
        <w:t>3);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establish a unit-specific maximum SO</w:t>
      </w:r>
      <w:r w:rsidRPr="00001714">
        <w:rPr>
          <w:rFonts w:ascii="Arial" w:hAnsi="Arial" w:cs="Arial"/>
          <w:sz w:val="20"/>
          <w:vertAlign w:val="subscript"/>
        </w:rPr>
        <w:t>2</w:t>
      </w:r>
      <w:r w:rsidRPr="00001714">
        <w:rPr>
          <w:rFonts w:ascii="Arial" w:hAnsi="Arial" w:cs="Arial"/>
          <w:sz w:val="20"/>
        </w:rPr>
        <w:t xml:space="preserve"> operating limit by collecting the minimum hourly SO</w:t>
      </w:r>
      <w:r w:rsidRPr="00001714">
        <w:rPr>
          <w:rFonts w:ascii="Arial" w:hAnsi="Arial" w:cs="Arial"/>
          <w:sz w:val="20"/>
          <w:vertAlign w:val="subscript"/>
        </w:rPr>
        <w:t>2</w:t>
      </w:r>
      <w:r w:rsidRPr="00001714">
        <w:rPr>
          <w:rFonts w:ascii="Arial" w:hAnsi="Arial" w:cs="Arial"/>
          <w:sz w:val="20"/>
        </w:rPr>
        <w:t xml:space="preserve"> emission rate on the SO</w:t>
      </w:r>
      <w:r w:rsidRPr="00001714">
        <w:rPr>
          <w:rFonts w:ascii="Arial" w:hAnsi="Arial" w:cs="Arial"/>
          <w:sz w:val="20"/>
          <w:vertAlign w:val="subscript"/>
        </w:rPr>
        <w:t>2</w:t>
      </w:r>
      <w:r w:rsidRPr="00001714">
        <w:rPr>
          <w:rFonts w:ascii="Arial" w:hAnsi="Arial" w:cs="Arial"/>
          <w:sz w:val="20"/>
        </w:rPr>
        <w:t xml:space="preserve"> CEMS during the paired 3-run test for HCl. The maximum SO</w:t>
      </w:r>
      <w:r w:rsidRPr="00001714">
        <w:rPr>
          <w:rFonts w:ascii="Arial" w:hAnsi="Arial" w:cs="Arial"/>
          <w:sz w:val="20"/>
          <w:vertAlign w:val="subscript"/>
        </w:rPr>
        <w:t>2</w:t>
      </w:r>
      <w:r w:rsidRPr="00001714">
        <w:rPr>
          <w:rFonts w:ascii="Arial" w:hAnsi="Arial" w:cs="Arial"/>
          <w:sz w:val="20"/>
        </w:rPr>
        <w:t xml:space="preserve"> operating limit is equal to the highest hourly average SO</w:t>
      </w:r>
      <w:r w:rsidRPr="00001714">
        <w:rPr>
          <w:rFonts w:ascii="Arial" w:hAnsi="Arial" w:cs="Arial"/>
          <w:sz w:val="20"/>
          <w:vertAlign w:val="subscript"/>
        </w:rPr>
        <w:t>2</w:t>
      </w:r>
      <w:r w:rsidRPr="00001714">
        <w:rPr>
          <w:rFonts w:ascii="Arial" w:hAnsi="Arial" w:cs="Arial"/>
          <w:sz w:val="20"/>
        </w:rPr>
        <w:t xml:space="preserve"> concentration measured during the most recent HCl performance test.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7174, Jan. 31, 2013]</w:t>
      </w:r>
    </w:p>
    <w:p w:rsidR="00F0171B" w:rsidRPr="00001714" w:rsidRDefault="0036167B" w:rsidP="00F0171B">
      <w:pPr>
        <w:spacing w:before="200" w:after="100" w:afterAutospacing="1"/>
        <w:rPr>
          <w:rFonts w:ascii="Arial" w:hAnsi="Arial" w:cs="Arial"/>
          <w:sz w:val="20"/>
        </w:rPr>
      </w:pPr>
      <w:hyperlink r:id="rId155" w:anchor="_top" w:history="1">
        <w:r w:rsidR="00F0171B" w:rsidRPr="00001714">
          <w:rPr>
            <w:rFonts w:ascii="Arial" w:hAnsi="Arial" w:cs="Arial"/>
            <w:noProof/>
            <w:color w:val="0000FF"/>
            <w:sz w:val="20"/>
          </w:rPr>
          <w:drawing>
            <wp:inline distT="0" distB="0" distL="0" distR="0">
              <wp:extent cx="152400" cy="152400"/>
              <wp:effectExtent l="0" t="0" r="0" b="0"/>
              <wp:docPr id="72" name="Picture 72"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2" w:name="40:14.0.1.1.1.5.140.17"/>
      <w:bookmarkEnd w:id="22"/>
      <w:r w:rsidRPr="00001714">
        <w:rPr>
          <w:rFonts w:ascii="Arial" w:hAnsi="Arial" w:cs="Arial"/>
          <w:b/>
          <w:bCs/>
          <w:sz w:val="20"/>
        </w:rPr>
        <w:t>§63.7533 Can I use efficiency credits earned from implementation of energy conservation measures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 xml:space="preserve">(a) If you elect to comply with the alternative equivalent output-based emission limits, instead of the heat input-based limits listed in Table 2 to this subpart, and you want to take credit for implementing energy conservation measures identified in an energy assessment, you may demonstrate compliance using efficiency credits according to the procedures in this section. You may use this compliance approach for an existing affected boiler for demonstrating initial compliance according to §63.7522(e) and for demonstrating monthly compliance according to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paragraphs (b) through (f) of this section. You cannot use this compliance approach for a new or reconstructed affected boiler. Additional guidance from the Department of Energy on efficiency credits is available at: </w:t>
      </w:r>
      <w:r w:rsidRPr="00001714">
        <w:rPr>
          <w:rFonts w:ascii="Arial" w:hAnsi="Arial" w:cs="Arial"/>
          <w:i/>
          <w:iCs/>
          <w:sz w:val="20"/>
        </w:rPr>
        <w:t>http://www.epa.gov/ttn/atw/boiler/boilerpg.html</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001714">
        <w:rPr>
          <w:rFonts w:ascii="Arial" w:hAnsi="Arial" w:cs="Arial"/>
          <w:i/>
          <w:iCs/>
          <w:sz w:val="20"/>
        </w:rPr>
        <w:t>i.e.,</w:t>
      </w:r>
      <w:r w:rsidRPr="00001714">
        <w:rPr>
          <w:rFonts w:ascii="Arial" w:hAnsi="Arial" w:cs="Arial"/>
          <w:sz w:val="20"/>
        </w:rPr>
        <w:t xml:space="preserve"> fuel usage) according to paragraphs (b</w:t>
      </w:r>
      <w:proofErr w:type="gramStart"/>
      <w:r w:rsidRPr="00001714">
        <w:rPr>
          <w:rFonts w:ascii="Arial" w:hAnsi="Arial" w:cs="Arial"/>
          <w:sz w:val="20"/>
        </w:rPr>
        <w:t>)(</w:t>
      </w:r>
      <w:proofErr w:type="gramEnd"/>
      <w:r w:rsidRPr="00001714">
        <w:rPr>
          <w:rFonts w:ascii="Arial" w:hAnsi="Arial" w:cs="Arial"/>
          <w:sz w:val="20"/>
        </w:rPr>
        <w:t>1) through (4) of this section. The benchmark shall be expressed in trillion Btu per year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Determine the starting point from which to measure progress. Inventory all fuel purchased and generated on-site (off-gases, residues) in physical units (MMBtu, million cubic feet, etc.).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Document all uses of energy from the affected boiler. Use the most recent data available.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Collect non-energy related facility and operational data to normalize, if necessary, the benchmark to current operations, such as building size, operating hours, etc. If possible, use actual data that are current and timely rather than estimated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Efficiency credits can be generated if the energy conservation measures were implemented after January 1, 2008 and if sufficient information is available to determine the appropriate value of credits.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following emission points cannot be used to generate efficiency credits: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Energy conservation measures implemented on or before January 1, 2008, unless the level of energy demand reduction is increased after January 1, 2008, in which case credit will be allowed only for change in demand reduction achieved after January 1, 2008.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all points included in calculating emissions credits, the owner or operator shall: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Calculate annual credits for all energy demand points. Use Equation 19 to calculate credits. Energy conservation measures that meet the criteria of paragraph (c</w:t>
      </w:r>
      <w:proofErr w:type="gramStart"/>
      <w:r w:rsidRPr="00001714">
        <w:rPr>
          <w:rFonts w:ascii="Arial" w:hAnsi="Arial" w:cs="Arial"/>
          <w:sz w:val="20"/>
        </w:rPr>
        <w:t>)(</w:t>
      </w:r>
      <w:proofErr w:type="gramEnd"/>
      <w:r w:rsidRPr="00001714">
        <w:rPr>
          <w:rFonts w:ascii="Arial" w:hAnsi="Arial" w:cs="Arial"/>
          <w:sz w:val="20"/>
        </w:rPr>
        <w:t>1) of this section shall not be included, except as specified in paragraph (c)(1)(i)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(3) 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overall equation for calculating credits 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286000" cy="335280"/>
            <wp:effectExtent l="0" t="0" r="0" b="0"/>
            <wp:docPr id="71" name="Picture 71"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31ja13.023.gif"/>
                    <pic:cNvPicPr>
                      <a:picLocks noChangeAspect="1" noChangeArrowheads="1"/>
                    </pic:cNvPicPr>
                  </pic:nvPicPr>
                  <pic:blipFill>
                    <a:blip r:embed="rId1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0" cy="3352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57"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ECredits = Energy Input Savings for all energy conservation measures implemented for an affected boiler, expressed as a decimal fraction of the baseline energy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EIS</w:t>
      </w:r>
      <w:r w:rsidRPr="00001714">
        <w:rPr>
          <w:rFonts w:ascii="Arial" w:hAnsi="Arial" w:cs="Arial"/>
          <w:sz w:val="20"/>
          <w:vertAlign w:val="subscript"/>
        </w:rPr>
        <w:t>iactual</w:t>
      </w:r>
      <w:r w:rsidRPr="00001714">
        <w:rPr>
          <w:rFonts w:ascii="Arial" w:hAnsi="Arial" w:cs="Arial"/>
          <w:sz w:val="20"/>
        </w:rPr>
        <w:t xml:space="preserve"> = Energy Input Savings for each energy conservation measure, i, implemented for an affected boiler, million Btu per year.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EI</w:t>
      </w:r>
      <w:r w:rsidRPr="00001714">
        <w:rPr>
          <w:rFonts w:ascii="Arial" w:hAnsi="Arial" w:cs="Arial"/>
          <w:sz w:val="20"/>
          <w:vertAlign w:val="subscript"/>
        </w:rPr>
        <w:t>baseline</w:t>
      </w:r>
      <w:r w:rsidRPr="00001714">
        <w:rPr>
          <w:rFonts w:ascii="Arial" w:hAnsi="Arial" w:cs="Arial"/>
          <w:sz w:val="20"/>
        </w:rPr>
        <w:t xml:space="preserve"> = Energy Input baseline for the affected boiler, million Btu per year.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energy conservation measures included in the efficiency credit for the affected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use Equation 20 of this section to demonstrate initial compliance by demonstrating that the emissions from the affected boiler participating in the efficiency credit compliance approach do not exceed the emission limits in Table 2 to this subpart.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51660" cy="137160"/>
            <wp:effectExtent l="0" t="0" r="0" b="0"/>
            <wp:docPr id="70" name="Picture 70"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31ja13.024.gif"/>
                    <pic:cNvPicPr>
                      <a:picLocks noChangeAspect="1" noChangeArrowheads="1"/>
                    </pic:cNvPicPr>
                  </pic:nvPicPr>
                  <pic:blipFill>
                    <a:blip r:embed="rId1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1660" cy="13716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59"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w:t>
      </w:r>
      <w:r w:rsidRPr="00001714">
        <w:rPr>
          <w:rFonts w:ascii="Arial" w:hAnsi="Arial" w:cs="Arial"/>
          <w:sz w:val="20"/>
          <w:vertAlign w:val="subscript"/>
        </w:rPr>
        <w:t>adj</w:t>
      </w:r>
      <w:r w:rsidRPr="00001714">
        <w:rPr>
          <w:rFonts w:ascii="Arial" w:hAnsi="Arial" w:cs="Arial"/>
          <w:sz w:val="20"/>
        </w:rPr>
        <w:t xml:space="preserve"> = Emission level adjusted by applying the efficiency credits earned, lb per million Btu steam output (or lb per MWh) for the affected boiler.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w:t>
      </w:r>
      <w:r w:rsidRPr="00001714">
        <w:rPr>
          <w:rFonts w:ascii="Arial" w:hAnsi="Arial" w:cs="Arial"/>
          <w:sz w:val="20"/>
          <w:vertAlign w:val="subscript"/>
        </w:rPr>
        <w:t>m</w:t>
      </w:r>
      <w:r w:rsidRPr="00001714">
        <w:rPr>
          <w:rFonts w:ascii="Arial" w:hAnsi="Arial" w:cs="Arial"/>
          <w:sz w:val="20"/>
        </w:rPr>
        <w:t xml:space="preserve"> = Emissions measured during the performance test, lb per million Btu steam output (or lb per MWh) for the affected boiler.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lastRenderedPageBreak/>
        <w:t>ECredits = Efficiency credits from Equation 19 for the affected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As part of each compliance report submitted as required under §63.7550, you must include documentation that the energy conservation measures implemented continue to generate the credit for use in demonstrating compliance with the emission limits.</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7178, Jan. 31, 2013]</w:t>
      </w:r>
    </w:p>
    <w:p w:rsidR="00F0171B" w:rsidRPr="00001714" w:rsidRDefault="0036167B" w:rsidP="00F0171B">
      <w:pPr>
        <w:spacing w:before="200" w:after="100" w:afterAutospacing="1"/>
        <w:rPr>
          <w:rFonts w:ascii="Arial" w:hAnsi="Arial" w:cs="Arial"/>
          <w:sz w:val="20"/>
        </w:rPr>
      </w:pPr>
      <w:hyperlink r:id="rId160" w:anchor="_top" w:history="1">
        <w:r w:rsidR="00F0171B" w:rsidRPr="00001714">
          <w:rPr>
            <w:rFonts w:ascii="Arial" w:hAnsi="Arial" w:cs="Arial"/>
            <w:noProof/>
            <w:color w:val="0000FF"/>
            <w:sz w:val="20"/>
          </w:rPr>
          <w:drawing>
            <wp:inline distT="0" distB="0" distL="0" distR="0">
              <wp:extent cx="152400" cy="152400"/>
              <wp:effectExtent l="0" t="0" r="0" b="0"/>
              <wp:docPr id="69" name="Picture 6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3" w:name="40:14.0.1.1.1.5.141"/>
      <w:bookmarkEnd w:id="23"/>
      <w:r w:rsidRPr="00001714">
        <w:rPr>
          <w:rFonts w:ascii="Arial" w:hAnsi="Arial" w:cs="Arial"/>
          <w:b/>
          <w:bCs/>
          <w:smallCaps/>
          <w:sz w:val="20"/>
        </w:rPr>
        <w:t>Continuous Compliance Requirements</w:t>
      </w:r>
    </w:p>
    <w:p w:rsidR="00F0171B" w:rsidRPr="00001714" w:rsidRDefault="0036167B" w:rsidP="00F0171B">
      <w:pPr>
        <w:spacing w:before="200" w:after="100" w:afterAutospacing="1"/>
        <w:rPr>
          <w:rFonts w:ascii="Arial" w:hAnsi="Arial" w:cs="Arial"/>
          <w:sz w:val="20"/>
        </w:rPr>
      </w:pPr>
      <w:hyperlink r:id="rId161" w:anchor="_top" w:history="1">
        <w:r w:rsidR="00F0171B" w:rsidRPr="00001714">
          <w:rPr>
            <w:rFonts w:ascii="Arial" w:hAnsi="Arial" w:cs="Arial"/>
            <w:noProof/>
            <w:color w:val="0000FF"/>
            <w:sz w:val="20"/>
          </w:rPr>
          <w:drawing>
            <wp:inline distT="0" distB="0" distL="0" distR="0">
              <wp:extent cx="152400" cy="152400"/>
              <wp:effectExtent l="0" t="0" r="0" b="0"/>
              <wp:docPr id="68" name="Picture 68"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4" w:name="40:14.0.1.1.1.5.141.18"/>
      <w:bookmarkEnd w:id="24"/>
      <w:r w:rsidRPr="00001714">
        <w:rPr>
          <w:rFonts w:ascii="Arial" w:hAnsi="Arial" w:cs="Arial"/>
          <w:b/>
          <w:bCs/>
          <w:sz w:val="20"/>
        </w:rPr>
        <w:t>§63.7535 Is there a minimum amount of monitoring data I must obtain?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monitor and collect data according to this section and the site-specific monitoring plan required by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operate the monitoring system and collect data at all required intervals at all times that each boiler or process heater is operating and compliance is required, except for periods of monitoring system malfunctions or out of control periods (see §63.8(c)(7) of this part), and required monitoring system quality assurance or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You must record and make available upon request results of CMS performance audits and dates and duration of periods when the CMS is out of control to completion of the corrective actions necessary to return the CMS to operation consistent with your site-specific monitoring plan. You must use all the data collected during all other periods in assessing compliance and the operation of the control device and associated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w:t>
      </w:r>
      <w:proofErr w:type="gramStart"/>
      <w:r w:rsidRPr="00001714">
        <w:rPr>
          <w:rFonts w:ascii="Arial" w:hAnsi="Arial" w:cs="Arial"/>
          <w:sz w:val="20"/>
        </w:rPr>
        <w:t>,</w:t>
      </w:r>
      <w:proofErr w:type="gramEnd"/>
      <w:r w:rsidRPr="00001714">
        <w:rPr>
          <w:rFonts w:ascii="Arial" w:hAnsi="Arial" w:cs="Arial"/>
          <w:sz w:val="20"/>
        </w:rPr>
        <w:t xml:space="preserve"> failure to collect required data is a deviation of the monitoring requirements. In calculating monitoring results, do not use any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You must calculate monitoring results using all other monitoring data collected while the process is operating. You must report all periods when the monitoring system is out of control in your annual report.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7179, Jan. 31, 2013]</w:t>
      </w:r>
    </w:p>
    <w:p w:rsidR="00F0171B" w:rsidRPr="00001714" w:rsidRDefault="0036167B" w:rsidP="00F0171B">
      <w:pPr>
        <w:spacing w:before="200" w:after="100" w:afterAutospacing="1"/>
        <w:rPr>
          <w:rFonts w:ascii="Arial" w:hAnsi="Arial" w:cs="Arial"/>
          <w:sz w:val="20"/>
        </w:rPr>
      </w:pPr>
      <w:hyperlink r:id="rId162" w:anchor="_top" w:history="1">
        <w:r w:rsidR="00F0171B" w:rsidRPr="00001714">
          <w:rPr>
            <w:rFonts w:ascii="Arial" w:hAnsi="Arial" w:cs="Arial"/>
            <w:noProof/>
            <w:color w:val="0000FF"/>
            <w:sz w:val="20"/>
          </w:rPr>
          <w:drawing>
            <wp:inline distT="0" distB="0" distL="0" distR="0">
              <wp:extent cx="152400" cy="152400"/>
              <wp:effectExtent l="0" t="0" r="0" b="0"/>
              <wp:docPr id="67" name="Picture 6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5" w:name="40:14.0.1.1.1.5.141.19"/>
      <w:bookmarkEnd w:id="25"/>
      <w:r w:rsidRPr="00001714">
        <w:rPr>
          <w:rFonts w:ascii="Arial" w:hAnsi="Arial" w:cs="Arial"/>
          <w:b/>
          <w:bCs/>
          <w:sz w:val="20"/>
        </w:rPr>
        <w:lastRenderedPageBreak/>
        <w:t xml:space="preserve">§63.7540 </w:t>
      </w:r>
      <w:proofErr w:type="gramStart"/>
      <w:r w:rsidRPr="00001714">
        <w:rPr>
          <w:rFonts w:ascii="Arial" w:hAnsi="Arial" w:cs="Arial"/>
          <w:b/>
          <w:bCs/>
          <w:sz w:val="20"/>
        </w:rPr>
        <w:t>How</w:t>
      </w:r>
      <w:proofErr w:type="gramEnd"/>
      <w:r w:rsidRPr="00001714">
        <w:rPr>
          <w:rFonts w:ascii="Arial" w:hAnsi="Arial" w:cs="Arial"/>
          <w:b/>
          <w:bCs/>
          <w:sz w:val="20"/>
        </w:rPr>
        <w:t xml:space="preserve"> do I demonstrate continuous compliance with the emission limitations, fuel specifications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demonstrate continuous compliance with each emission limit in Tables 1 and 2 or 11 through 13 to this subpart, the work practice standards in Table 3 to this subpart, and the operating limits in Table 4 to this subpart that applies to you according to the methods specified in Table 8 to this subpart and paragraphs (a</w:t>
      </w:r>
      <w:proofErr w:type="gramStart"/>
      <w:r w:rsidRPr="00001714">
        <w:rPr>
          <w:rFonts w:ascii="Arial" w:hAnsi="Arial" w:cs="Arial"/>
          <w:sz w:val="20"/>
        </w:rPr>
        <w:t>)(</w:t>
      </w:r>
      <w:proofErr w:type="gramEnd"/>
      <w:r w:rsidRPr="00001714">
        <w:rPr>
          <w:rFonts w:ascii="Arial" w:hAnsi="Arial" w:cs="Arial"/>
          <w:sz w:val="20"/>
        </w:rPr>
        <w:t>1) through (19)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As specified in §63.7550(c), you must keep records of the type and amount of all fuels burned in each boiler or process heater during the reporting period to demonstrate that all fuel types and mixtures of fuels burned would result in either of the following: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Lower emissions of HCl, mercury, and TSM than the applicable emission limit for each pollutant, if you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Lower fuel input of chlorine, mercury, and TSM than the maximum values calculated during the last performance test, if you demonstrate compliance through performance testing.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you demonstrate compliance with an applicable HCl emission limit through fuel analysis for a solid or liquid fuel and you plan to burn a new type of solid or liquid fuel, you must recalculate the HCl emission rate using Equation 12 of §63.7530 according to paragraphs (a)(3)(i) through (iii) of this section. You are not required to conduct fuel analyses for the fuels described in §63.7510(a</w:t>
      </w:r>
      <w:proofErr w:type="gramStart"/>
      <w:r w:rsidRPr="00001714">
        <w:rPr>
          <w:rFonts w:ascii="Arial" w:hAnsi="Arial" w:cs="Arial"/>
          <w:sz w:val="20"/>
        </w:rPr>
        <w:t>)(</w:t>
      </w:r>
      <w:proofErr w:type="gramEnd"/>
      <w:r w:rsidRPr="00001714">
        <w:rPr>
          <w:rFonts w:ascii="Arial" w:hAnsi="Arial" w:cs="Arial"/>
          <w:sz w:val="20"/>
        </w:rPr>
        <w:t>2)(i) through (iii). You may exclude the fuels described in §63.7510(a</w:t>
      </w:r>
      <w:proofErr w:type="gramStart"/>
      <w:r w:rsidRPr="00001714">
        <w:rPr>
          <w:rFonts w:ascii="Arial" w:hAnsi="Arial" w:cs="Arial"/>
          <w:sz w:val="20"/>
        </w:rPr>
        <w:t>)(</w:t>
      </w:r>
      <w:proofErr w:type="gramEnd"/>
      <w:r w:rsidRPr="00001714">
        <w:rPr>
          <w:rFonts w:ascii="Arial" w:hAnsi="Arial" w:cs="Arial"/>
          <w:sz w:val="20"/>
        </w:rPr>
        <w:t>2)(i) through (iii) when recalculating the HCl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chlorine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Recalculate the HCl emission rate from your boiler or process heater under these new conditions using Equation 12 of §63.7530. The recalculated HCl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§63.7510(a)(2)(i) through (iii).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(5) If you demonstrate compliance with an applicable mercury emission limit through fuel analysis, and you plan to burn a new type of fuel, you must recalculate the mercury emission rate using Equation 13 of §63.7530 according to the procedures specified in paragraphs (a)(5)(i) through (iii) of this section. You are not required to </w:t>
      </w:r>
      <w:r w:rsidRPr="00001714">
        <w:rPr>
          <w:rFonts w:ascii="Arial" w:hAnsi="Arial" w:cs="Arial"/>
          <w:sz w:val="20"/>
        </w:rPr>
        <w:lastRenderedPageBreak/>
        <w:t>conduct fuel analyses for the fuels described in §63.7510(a</w:t>
      </w:r>
      <w:proofErr w:type="gramStart"/>
      <w:r w:rsidRPr="00001714">
        <w:rPr>
          <w:rFonts w:ascii="Arial" w:hAnsi="Arial" w:cs="Arial"/>
          <w:sz w:val="20"/>
        </w:rPr>
        <w:t>)(</w:t>
      </w:r>
      <w:proofErr w:type="gramEnd"/>
      <w:r w:rsidRPr="00001714">
        <w:rPr>
          <w:rFonts w:ascii="Arial" w:hAnsi="Arial" w:cs="Arial"/>
          <w:sz w:val="20"/>
        </w:rPr>
        <w:t>2)(i) through (iii). You may exclude the fuels described in §63.7510(a</w:t>
      </w:r>
      <w:proofErr w:type="gramStart"/>
      <w:r w:rsidRPr="00001714">
        <w:rPr>
          <w:rFonts w:ascii="Arial" w:hAnsi="Arial" w:cs="Arial"/>
          <w:sz w:val="20"/>
        </w:rPr>
        <w:t>)(</w:t>
      </w:r>
      <w:proofErr w:type="gramEnd"/>
      <w:r w:rsidRPr="00001714">
        <w:rPr>
          <w:rFonts w:ascii="Arial" w:hAnsi="Arial" w:cs="Arial"/>
          <w:sz w:val="20"/>
        </w:rPr>
        <w:t>2)(i) through (iii) when recalculating the mercury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mercury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Recalculate the mercury emission rate from your boiler or process heater under these new conditions using Equation 13 of §63.7530. The recalculated mercury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001714">
        <w:rPr>
          <w:rFonts w:ascii="Arial" w:hAnsi="Arial" w:cs="Arial"/>
          <w:sz w:val="20"/>
        </w:rPr>
        <w:t>)(</w:t>
      </w:r>
      <w:proofErr w:type="gramEnd"/>
      <w:r w:rsidRPr="00001714">
        <w:rPr>
          <w:rFonts w:ascii="Arial" w:hAnsi="Arial" w:cs="Arial"/>
          <w:sz w:val="20"/>
        </w:rPr>
        <w:t>2)(i) through (iii). You may exclude the fuels described in §63.7510(a</w:t>
      </w:r>
      <w:proofErr w:type="gramStart"/>
      <w:r w:rsidRPr="00001714">
        <w:rPr>
          <w:rFonts w:ascii="Arial" w:hAnsi="Arial" w:cs="Arial"/>
          <w:sz w:val="20"/>
        </w:rPr>
        <w:t>)(</w:t>
      </w:r>
      <w:proofErr w:type="gramEnd"/>
      <w:r w:rsidRPr="00001714">
        <w:rPr>
          <w:rFonts w:ascii="Arial" w:hAnsi="Arial" w:cs="Arial"/>
          <w:sz w:val="20"/>
        </w:rPr>
        <w:t>2)(i) through (iii) when recalculating the mercury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If your unit is controlled with a fabric filter, and you demonstrate continuous compliance using a bag leak detection system, you must initiate corrective action within 1 hour of a bag leak detection system alert and complete corrective actions as soon as practical, and operate and maintain the fabric filter system such that the periods which would cause an alert are no more than 5 percent of the operating time during a 6-month period. You must also keep records of the date, time, and duration of each alert, the time corrective action was initiated and completed, and a brief description of the cause of the alert and the corrective action taken. You must also record the percent of the operating time during each 6-month period that the conditions exist for an alert. In calculating this operating time percentage, if inspection of the fabric filter demonstrates that no corrective action is required, no alert time is counted. If corrective action is required, each alert shall be counted as a minimum of 1 hour. If you take longer than 1 hour to initiate corrective action, the alert time shall be counted as the actual amount of time taken to initiate corrective action.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To demonstrate compliance with the applicable alternative CO CEMS emission limit listed in Tables 1, 2, or 11 through 13 to this subpart, you must meet the requirements in paragraphs (a)(8)(i) through (iv)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Continuously monitor CO according to §§63.7525(a) and 63.7535.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Maintain a CO emission level below or at your applicable alternative CO CEMS-based standard in Tables 1 or 2 or 11 through 13 to this subpart at all times the affected unit is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Keep records of CO levels according to §63.7555(b).</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You</w:t>
      </w:r>
      <w:proofErr w:type="gramEnd"/>
      <w:r w:rsidRPr="00001714">
        <w:rPr>
          <w:rFonts w:ascii="Arial" w:hAnsi="Arial" w:cs="Arial"/>
          <w:sz w:val="20"/>
        </w:rPr>
        <w:t xml:space="preserve"> must record and make available upon request results of CO CEMS performance audits, dates and duration of periods when the CO CEMS is out of control to completion of the corrective actions necessary to return the CO CEMS to operation consistent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The owner or operator of a boiler or process heater using a PM CPMS or a PM CEMS to meet requirements of this subpart shall install, certify, operate, and maintain the PM CPMS or PM CEMS in accordance with your site-specific monitoring plan as required in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(10) If your boiler or process heater has a heat input capacity of 10 million Btu per hour or greater, you must conduct an annual tune-up of the boiler or process heater to demonstrate continuous compliance as specified in paragraphs (a)(10)(i) through (vi) of this section. This frequency does not apply to limited-use boilers and process heaters, as defined in §</w:t>
      </w:r>
      <w:proofErr w:type="gramStart"/>
      <w:r w:rsidRPr="00001714">
        <w:rPr>
          <w:rFonts w:ascii="Arial" w:hAnsi="Arial" w:cs="Arial"/>
          <w:sz w:val="20"/>
        </w:rPr>
        <w:t>63.7575,</w:t>
      </w:r>
      <w:proofErr w:type="gramEnd"/>
      <w:r w:rsidRPr="00001714">
        <w:rPr>
          <w:rFonts w:ascii="Arial" w:hAnsi="Arial" w:cs="Arial"/>
          <w:sz w:val="20"/>
        </w:rPr>
        <w:t xml:space="preserve"> or units with continuous oxygen trim systems that maintain an optimum air to fuel ratio.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Inspect the flame pattern, as applicable, and adjust the burner as necessary to optimize the flame pattern. The adjustment should be consistent with the manufacturer's specifications, if available;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Optimize</w:t>
      </w:r>
      <w:proofErr w:type="gramEnd"/>
      <w:r w:rsidRPr="00001714">
        <w:rPr>
          <w:rFonts w:ascii="Arial" w:hAnsi="Arial" w:cs="Arial"/>
          <w:sz w:val="20"/>
        </w:rPr>
        <w:t xml:space="preserve"> total emissions of CO. This optimization should be consistent with the manufacturer's specifications, if available, and with any NO</w:t>
      </w:r>
      <w:r w:rsidRPr="00001714">
        <w:rPr>
          <w:rFonts w:ascii="Arial" w:hAnsi="Arial" w:cs="Arial"/>
          <w:sz w:val="20"/>
          <w:vertAlign w:val="subscript"/>
        </w:rPr>
        <w:t>X</w:t>
      </w:r>
      <w:r w:rsidRPr="00001714">
        <w:rPr>
          <w:rFonts w:ascii="Arial" w:hAnsi="Arial" w:cs="Arial"/>
          <w:sz w:val="20"/>
        </w:rPr>
        <w:t xml:space="preserve"> requirement to which the unit is subject;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Maintain on-site and submit, if requested by the Administrator, an annual report containing the information in paragraphs (a</w:t>
      </w:r>
      <w:proofErr w:type="gramStart"/>
      <w:r w:rsidRPr="00001714">
        <w:rPr>
          <w:rFonts w:ascii="Arial" w:hAnsi="Arial" w:cs="Arial"/>
          <w:sz w:val="20"/>
        </w:rPr>
        <w:t>)(</w:t>
      </w:r>
      <w:proofErr w:type="gramEnd"/>
      <w:r w:rsidRPr="00001714">
        <w:rPr>
          <w:rFonts w:ascii="Arial" w:hAnsi="Arial" w:cs="Arial"/>
          <w:sz w:val="20"/>
        </w:rPr>
        <w:t>10)(vi)(A) through (C)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The concentrations of CO in the effluent stream in parts per million by volume, and oxygen in volume percent, measured at high fire or typical operating load, before and after the tune-up of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description of any corrective actions taken as a part of the tune-up;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The type and amount of fuel used over the 12 months prior to the tune-up, but only if the unit was physically and legally capable of using more than one type of fuel during that period. Units sharing a fuel meter may estimate the fuel used by each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(11) If your boiler or process heater has a heat input capacity of less than 10 million Btu per hour (except as specified in paragraph (a)(12) of this section), you must conduct a biennial tune-up of the boiler or process heater as specified in paragraphs (a)(10)(i) through (vi) of this section to demonstrate continuous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(12) If your boiler or process heater has a continuous oxygen trim system that maintains an optimum air to fuel ratio, or a heat input capacity of less than or equal to 5 million Btu per hour and the unit is in the units designed to burn gas 1; units designed to burn gas 2 (other); or units designed to burn light liquid subcategories, or meets the definition of limited-use boiler or process heater in §63.7575, you must conduct a tune-up of the boiler or process heater every 5 years as specified in paragraphs (a)(10)(i) through (vi) of this section to demonstrate continuous compliance. You may delay the burner inspection specified in paragraph (a</w:t>
      </w:r>
      <w:proofErr w:type="gramStart"/>
      <w:r w:rsidRPr="00001714">
        <w:rPr>
          <w:rFonts w:ascii="Arial" w:hAnsi="Arial" w:cs="Arial"/>
          <w:sz w:val="20"/>
        </w:rPr>
        <w:t>)(</w:t>
      </w:r>
      <w:proofErr w:type="gramEnd"/>
      <w:r w:rsidRPr="00001714">
        <w:rPr>
          <w:rFonts w:ascii="Arial" w:hAnsi="Arial" w:cs="Arial"/>
          <w:sz w:val="20"/>
        </w:rPr>
        <w:t>10)(i) of this section until the next scheduled or unscheduled unit shutdown, but you must inspect each burner at least once every 72 months.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(13) If the unit is not operating on the required date for a tune-up, the tune-up must be conducted within 30 calendar days of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(14) If you are using a CEMS measuring mercury emissions to meet requirements of this subpart you must install, certify, operate, and maintain the mercury CEMS as specified in paragraphs (a)(14)(i)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proofErr w:type="gramStart"/>
      <w:r w:rsidRPr="00001714">
        <w:rPr>
          <w:rFonts w:ascii="Arial" w:hAnsi="Arial" w:cs="Arial"/>
          <w:sz w:val="20"/>
        </w:rPr>
        <w:t>i</w:t>
      </w:r>
      <w:proofErr w:type="gramEnd"/>
      <w:r w:rsidRPr="00001714">
        <w:rPr>
          <w:rFonts w:ascii="Arial" w:hAnsi="Arial" w:cs="Arial"/>
          <w:sz w:val="20"/>
        </w:rPr>
        <w:t>) Operate the mercury CEMS in accordance with performance specification 12A of 40 CFR part 60, appendix B or operate a sorbent trap based integrated monitor in accordance with performance specification 12B of 40 CFR part 60, appendix B. The duration of the performance test must be the maximum of 30 unit operating days or 720 hours. For each day in which the unit operates, you must obtain hourly mercury concentration data, and stack gas volumetric flow rate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If you are using a mercury CEMS, you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(15) If you are using a CEMS to measure HCl emissions to meet requirements of this subpart, you must install, certify, operate, and maintain the HCl CEMS as specified in paragraphs (a)(15)(i) and (ii) of this section. This option for an affected unit takes effect on the date a final performance specification for an HCl CEMS is published in the </w:t>
      </w:r>
      <w:r w:rsidRPr="00001714">
        <w:rPr>
          <w:rFonts w:ascii="Arial" w:hAnsi="Arial" w:cs="Arial"/>
          <w:smallCaps/>
          <w:sz w:val="20"/>
        </w:rPr>
        <w:t>Federal Register</w:t>
      </w:r>
      <w:r w:rsidRPr="00001714">
        <w:rPr>
          <w:rFonts w:ascii="Arial" w:hAnsi="Arial" w:cs="Arial"/>
          <w:sz w:val="20"/>
        </w:rPr>
        <w:t xml:space="preserve"> or the date of approval of a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 Operate the continuous emissions monitoring system in accordance with the applicable performance specification in 40 CFR </w:t>
      </w:r>
      <w:proofErr w:type="gramStart"/>
      <w:r w:rsidRPr="00001714">
        <w:rPr>
          <w:rFonts w:ascii="Arial" w:hAnsi="Arial" w:cs="Arial"/>
          <w:sz w:val="20"/>
        </w:rPr>
        <w:t>part</w:t>
      </w:r>
      <w:proofErr w:type="gramEnd"/>
      <w:r w:rsidRPr="00001714">
        <w:rPr>
          <w:rFonts w:ascii="Arial" w:hAnsi="Arial" w:cs="Arial"/>
          <w:sz w:val="20"/>
        </w:rPr>
        <w:t xml:space="preserve"> 60, appendix B. The duration of the performance test must be the maximum of 30 unit operating days or 720 hours. For each day in which the unit operates, you must obtain hourly HCl concentration data, and stack gas volumetric flow rate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(ii) If you are using </w:t>
      </w:r>
      <w:proofErr w:type="gramStart"/>
      <w:r w:rsidRPr="00001714">
        <w:rPr>
          <w:rFonts w:ascii="Arial" w:hAnsi="Arial" w:cs="Arial"/>
          <w:sz w:val="20"/>
        </w:rPr>
        <w:t>a</w:t>
      </w:r>
      <w:proofErr w:type="gramEnd"/>
      <w:r w:rsidRPr="00001714">
        <w:rPr>
          <w:rFonts w:ascii="Arial" w:hAnsi="Arial" w:cs="Arial"/>
          <w:sz w:val="20"/>
        </w:rPr>
        <w:t xml:space="preserve"> HCl CEMS, you must install, operate, calibrate, and maintain an instrument for continuously measuring and recording the HCl mass emissions rate to the atmosphere according to the requirements of the applicable performance specification of 40 CFR part 60, appendix B, and the quality assurance procedures of 40 CFR part 60, appendix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(16) If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001714">
        <w:rPr>
          <w:rFonts w:ascii="Arial" w:hAnsi="Arial" w:cs="Arial"/>
          <w:sz w:val="20"/>
        </w:rPr>
        <w:t>)(</w:t>
      </w:r>
      <w:proofErr w:type="gramEnd"/>
      <w:r w:rsidRPr="00001714">
        <w:rPr>
          <w:rFonts w:ascii="Arial" w:hAnsi="Arial" w:cs="Arial"/>
          <w:sz w:val="20"/>
        </w:rPr>
        <w:t>2)(i) through (iii). You may exclude the fuels described in §63.7510(a</w:t>
      </w:r>
      <w:proofErr w:type="gramStart"/>
      <w:r w:rsidRPr="00001714">
        <w:rPr>
          <w:rFonts w:ascii="Arial" w:hAnsi="Arial" w:cs="Arial"/>
          <w:sz w:val="20"/>
        </w:rPr>
        <w:t>)(</w:t>
      </w:r>
      <w:proofErr w:type="gramEnd"/>
      <w:r w:rsidRPr="00001714">
        <w:rPr>
          <w:rFonts w:ascii="Arial" w:hAnsi="Arial" w:cs="Arial"/>
          <w:sz w:val="20"/>
        </w:rPr>
        <w:t>2)(i) through (iii) when recalculating the TSM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(17) If you demonstrate compliance with an applicable TSM emission limit through fuel analysis for solid or liquid fuels, and you plan to burn a new type of fuel, you must recalculate the TSM emission rate using Equation 14 of §63.7530 according to the procedures specified in paragraphs (a)(5)(i) through (iii) of this section. You are not required to conduct fuel analyses for the fuels described in §63.7510(a</w:t>
      </w:r>
      <w:proofErr w:type="gramStart"/>
      <w:r w:rsidRPr="00001714">
        <w:rPr>
          <w:rFonts w:ascii="Arial" w:hAnsi="Arial" w:cs="Arial"/>
          <w:sz w:val="20"/>
        </w:rPr>
        <w:t>)(</w:t>
      </w:r>
      <w:proofErr w:type="gramEnd"/>
      <w:r w:rsidRPr="00001714">
        <w:rPr>
          <w:rFonts w:ascii="Arial" w:hAnsi="Arial" w:cs="Arial"/>
          <w:sz w:val="20"/>
        </w:rPr>
        <w:t>2)(i) through (iii). You may exclude the fuels described in §63.7510(a</w:t>
      </w:r>
      <w:proofErr w:type="gramStart"/>
      <w:r w:rsidRPr="00001714">
        <w:rPr>
          <w:rFonts w:ascii="Arial" w:hAnsi="Arial" w:cs="Arial"/>
          <w:sz w:val="20"/>
        </w:rPr>
        <w:t>)(</w:t>
      </w:r>
      <w:proofErr w:type="gramEnd"/>
      <w:r w:rsidRPr="00001714">
        <w:rPr>
          <w:rFonts w:ascii="Arial" w:hAnsi="Arial" w:cs="Arial"/>
          <w:sz w:val="20"/>
        </w:rPr>
        <w:t>2)(i) through (iii) when recalculating the TSM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TSM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(iii) Recalculate the TSM emission rate from your boiler or process heater under these new conditions using Equation 14 of §63.7530. The recalculated TSM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(18) If you demonstrate continuous PM emissions compliance with a PM CPMS you will use a PM CPMS to establish a site-specific operating limit corresponding to the results of the performance test demonstrating compliance with the PM limit. You will conduct your performance test using the test method criteria in Table 5 of this subpart. You will use the PM CPMS to demonstrate continuous compliance with this operating limit. You must repeat the performance test annually and reassess and adjust the site-specific operating limit in accordance with the results of the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boiler or process heater operating hour.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any deviation of the 30-day rolling PM CPMS average value from the established operating parameter limit, you must: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Within 48 hours of the deviation, visually inspect the air pollution control device (APCD);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inspection of the APCD identifies the cause of the deviation, take corrective action as soon as possible and return the PM CPMS measurement to within the established value;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(C) Within 30 days of the deviation or at the time of the annual compliance test, whichever </w:t>
      </w:r>
      <w:proofErr w:type="gramStart"/>
      <w:r w:rsidRPr="00001714">
        <w:rPr>
          <w:rFonts w:ascii="Arial" w:hAnsi="Arial" w:cs="Arial"/>
          <w:sz w:val="20"/>
        </w:rPr>
        <w:t>comes</w:t>
      </w:r>
      <w:proofErr w:type="gramEnd"/>
      <w:r w:rsidRPr="00001714">
        <w:rPr>
          <w:rFonts w:ascii="Arial" w:hAnsi="Arial" w:cs="Arial"/>
          <w:sz w:val="20"/>
        </w:rPr>
        <w:t xml:space="preserve"> first, conduct a PM emissions compliance test to determine compliance with the PM emissions limit and to verify or re-establish the CPMS operating limit. You are not required to conduct additional testing for any deviations that occur between the time of the original deviation and the PM emissions compliance test required under this paragraph.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PM CPMS deviations from the operating limit leading to more than four required performance tests in a 12-month operating period constitute a separate violation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(19) If you choose to comply with the PM filterable emissions limit by using PM CEMS you must install, certify, operate, and maintain a PM CEMS and record the output of the PM CEMS as specified in paragraphs (a)(19)(i) through (vii) of this section. The compliance limit will be expressed as a 30-day rolling average of the numerical emissions limit value applicable for your unit in Tables 1 or 2 or 11 through 13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Install and certify your PM CEMS according to the procedures and requirements in Performance Specification 11—Specifications and Test Procedures for Particulate Matter Continuous Emission Monitoring Systems at Stationary Sources in Appendix B to part 60 of this chapter, using test criteria outlined in Table V of this rule. The reportable measurement output from the PM CEMS must be expressed in units of the applicable emissions limit (e.g., lb/MMBtu, lb/MWh).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Operate and maintain your PM CEMS according to the procedures and requirements in Procedure 2— Quality Assurance Requirements for Particulate Matter Continuous Emission Monitoring Systems at Stationary Sources in Appendix F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conduct the relative response audit (RRA) for your PM CEMS at least once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conduct the relative correlation audit (RCA) for your PM CEMS at least once every 3 years.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(iii) Collect PM CEMS hourly average output data for all boiler operating hours except as indicated in paragraph (i) of this section.</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Calculate</w:t>
      </w:r>
      <w:proofErr w:type="gramEnd"/>
      <w:r w:rsidRPr="00001714">
        <w:rPr>
          <w:rFonts w:ascii="Arial" w:hAnsi="Arial" w:cs="Arial"/>
          <w:sz w:val="20"/>
        </w:rPr>
        <w:t xml:space="preserve"> the arithmetic 30-day rolling average of all of the hourly average PM CEMS output data collected during all nonexempt boiler or process heater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You must collect data using the PM CEMS at all times the unit is operating and at the intervals specified this paragraph (a), except for periods of monitoring system malfunctions, repairs associated with monitoring system malfunctions, and required monitoring system quality assurance or quality control activities.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You must use all the data collected during all boiler or process heater operating hours in assessing the compliance with your operating limit except: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Any data recorded during periods of startup or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You must record and make available upon request results of PM CEMS system performance audits, dates and duration of periods when the PM CEMS is out of control to completion of the corrective actions necessary to return the PM CEMS to operation consistent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report each instance in which you did not meet each emission limit and operating limit in Tables 1 through 4 or 11 through 13 to this subpart that apply to you. These instances are deviations from the emission limits or operating limits, respectively, in this subpart. These deviations must be reported according to the requirements in §63.7550.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elected to demonstrate that the unit meets the specification for mercury for the unit designed to burn gas 1 subcategory, you must follow the sampling frequency specified in paragraphs (c)(1) through (4) of this section and conduct this sampling according to the procedures in §63.7521(f) through (i).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the initial mercury constituents in the gaseous fuels are measured to be equal to or less than half of the mercury specification as defined in §63.7575, you do not need to conduct further sampling.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the initial mercury constituents are greater than half but equal to or less than 75 percent of the mercury specification as defined in §63.7575, you will conduct semi-annual sampling. If 6 consecutive semi-annual fuel analyses demonstrate 50 percent or less of the mercury specification, you do not need to conduct further sampling. If any semi-annual sample exceeds 75 percent of the mercury specification, you must return to monthly sampling for that fuel, until 12 months of fuel analyses again are less than 75 percent of the compliance level.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the initial mercury constituents are greater than 75 percent of the mercury specification as defined in §63.7575, you will conduct monthly sampling. If 12 consecutive monthly fuel analyses demonstrate 75 percent or less of the mercury specification, you may decrease the fuel analysis frequency to semi-annual for that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(4) If the initial sample exceeds the mercury specification as defined in §63.7575, each affected boiler or process heater combusting this fuel is not part of the unit designed to burn gas 1 subcategory and must be in </w:t>
      </w:r>
      <w:r w:rsidRPr="00001714">
        <w:rPr>
          <w:rFonts w:ascii="Arial" w:hAnsi="Arial" w:cs="Arial"/>
          <w:sz w:val="20"/>
        </w:rPr>
        <w:lastRenderedPageBreak/>
        <w:t>compliance with the emission and operating limits for the appropriate subcategory. You may elect to conduct additional monthly sampling while complying with these emissions and operating limits to demonstrate that the fuel qualifies as another gas 1 fuel. If 12 consecutive monthly fuel analyses samples are at or below the mercury specification as defined in §63.7575, each affected boiler or process heater combusting the fuel can elect to switch back into the unit designed to burn gas 1 subcategory until the mercury specification is exceeded.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startup and shutdown, you must meet the work practice standards according to item 5 of Table 3 of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7179, Jan. 31, 2013]</w:t>
      </w:r>
    </w:p>
    <w:p w:rsidR="00F0171B" w:rsidRPr="00001714" w:rsidRDefault="0036167B" w:rsidP="00F0171B">
      <w:pPr>
        <w:spacing w:before="200" w:after="100" w:afterAutospacing="1"/>
        <w:rPr>
          <w:rFonts w:ascii="Arial" w:hAnsi="Arial" w:cs="Arial"/>
          <w:sz w:val="20"/>
        </w:rPr>
      </w:pPr>
      <w:hyperlink r:id="rId163" w:anchor="_top" w:history="1">
        <w:r w:rsidR="00F0171B" w:rsidRPr="00001714">
          <w:rPr>
            <w:rFonts w:ascii="Arial" w:hAnsi="Arial" w:cs="Arial"/>
            <w:noProof/>
            <w:color w:val="0000FF"/>
            <w:sz w:val="20"/>
          </w:rPr>
          <w:drawing>
            <wp:inline distT="0" distB="0" distL="0" distR="0">
              <wp:extent cx="152400" cy="152400"/>
              <wp:effectExtent l="0" t="0" r="0" b="0"/>
              <wp:docPr id="66" name="Picture 66"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6" w:name="40:14.0.1.1.1.5.141.20"/>
      <w:bookmarkEnd w:id="26"/>
      <w:r w:rsidRPr="00001714">
        <w:rPr>
          <w:rFonts w:ascii="Arial" w:hAnsi="Arial" w:cs="Arial"/>
          <w:b/>
          <w:bCs/>
          <w:sz w:val="20"/>
        </w:rPr>
        <w:t xml:space="preserve">§63.7541 </w:t>
      </w:r>
      <w:proofErr w:type="gramStart"/>
      <w:r w:rsidRPr="00001714">
        <w:rPr>
          <w:rFonts w:ascii="Arial" w:hAnsi="Arial" w:cs="Arial"/>
          <w:b/>
          <w:bCs/>
          <w:sz w:val="20"/>
        </w:rPr>
        <w:t>How</w:t>
      </w:r>
      <w:proofErr w:type="gramEnd"/>
      <w:r w:rsidRPr="00001714">
        <w:rPr>
          <w:rFonts w:ascii="Arial" w:hAnsi="Arial" w:cs="Arial"/>
          <w:b/>
          <w:bCs/>
          <w:sz w:val="20"/>
        </w:rPr>
        <w:t xml:space="preserve"> do I demonstrate continuous compliance under the emissions averaging provision?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Following the compliance date, the owner or operator must demonstrate compliance with this subpart on a continuous basis by meeting the requirements of paragraphs (a)(1)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each calendar month, demonstrate compliance with the average weighted emissions limit for the existing units participating in the emissions averaging option as determined in §63.7522(f) and (g).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maintain the applicable opacity limit according to paragraphs (a</w:t>
      </w:r>
      <w:proofErr w:type="gramStart"/>
      <w:r w:rsidRPr="00001714">
        <w:rPr>
          <w:rFonts w:ascii="Arial" w:hAnsi="Arial" w:cs="Arial"/>
          <w:sz w:val="20"/>
        </w:rPr>
        <w:t>)(</w:t>
      </w:r>
      <w:proofErr w:type="gramEnd"/>
      <w:r w:rsidRPr="00001714">
        <w:rPr>
          <w:rFonts w:ascii="Arial" w:hAnsi="Arial" w:cs="Arial"/>
          <w:sz w:val="20"/>
        </w:rPr>
        <w:t>2)(i)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existing unit participating in the emissions averaging option that is equipped with a dry control system and not vented to a common stack, maintain opacity at or below the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each existing unit participating in the emissions averaging option that is equipped with a wet scrubber, maintain the 30-day rolling average parameter values at or above the operating limits established during the most recent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each existing unit participating in the emissions averaging option that has an approved alternative operating parameter, maintain the 30-day rolling average parameter values consistent with the approved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Any instance where the owner or operator fails to comply with the continuous monitoring requirements in paragraphs (a</w:t>
      </w:r>
      <w:proofErr w:type="gramStart"/>
      <w:r w:rsidRPr="00001714">
        <w:rPr>
          <w:rFonts w:ascii="Arial" w:hAnsi="Arial" w:cs="Arial"/>
          <w:sz w:val="20"/>
        </w:rPr>
        <w:t>)(</w:t>
      </w:r>
      <w:proofErr w:type="gramEnd"/>
      <w:r w:rsidRPr="00001714">
        <w:rPr>
          <w:rFonts w:ascii="Arial" w:hAnsi="Arial" w:cs="Arial"/>
          <w:sz w:val="20"/>
        </w:rPr>
        <w:t>1) through (5) of this section is a deviation.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7182, Jan. 31, 2013]</w:t>
      </w:r>
    </w:p>
    <w:p w:rsidR="00F0171B" w:rsidRPr="00001714" w:rsidRDefault="0036167B" w:rsidP="00F0171B">
      <w:pPr>
        <w:spacing w:before="200" w:after="100" w:afterAutospacing="1"/>
        <w:rPr>
          <w:rFonts w:ascii="Arial" w:hAnsi="Arial" w:cs="Arial"/>
          <w:sz w:val="20"/>
        </w:rPr>
      </w:pPr>
      <w:hyperlink r:id="rId164" w:anchor="_top" w:history="1">
        <w:r w:rsidR="00F0171B" w:rsidRPr="00001714">
          <w:rPr>
            <w:rFonts w:ascii="Arial" w:hAnsi="Arial" w:cs="Arial"/>
            <w:noProof/>
            <w:color w:val="0000FF"/>
            <w:sz w:val="20"/>
          </w:rPr>
          <w:drawing>
            <wp:inline distT="0" distB="0" distL="0" distR="0">
              <wp:extent cx="152400" cy="152400"/>
              <wp:effectExtent l="0" t="0" r="0" b="0"/>
              <wp:docPr id="65" name="Picture 65"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7" w:name="40:14.0.1.1.1.5.142"/>
      <w:bookmarkEnd w:id="27"/>
      <w:r w:rsidRPr="00001714">
        <w:rPr>
          <w:rFonts w:ascii="Arial" w:hAnsi="Arial" w:cs="Arial"/>
          <w:b/>
          <w:bCs/>
          <w:smallCaps/>
          <w:sz w:val="20"/>
        </w:rPr>
        <w:t>Notification, Reports, and Records</w:t>
      </w:r>
    </w:p>
    <w:p w:rsidR="00F0171B" w:rsidRPr="00001714" w:rsidRDefault="0036167B" w:rsidP="00F0171B">
      <w:pPr>
        <w:spacing w:before="200" w:after="100" w:afterAutospacing="1"/>
        <w:rPr>
          <w:rFonts w:ascii="Arial" w:hAnsi="Arial" w:cs="Arial"/>
          <w:sz w:val="20"/>
        </w:rPr>
      </w:pPr>
      <w:hyperlink r:id="rId165" w:anchor="_top" w:history="1">
        <w:r w:rsidR="00F0171B" w:rsidRPr="00001714">
          <w:rPr>
            <w:rFonts w:ascii="Arial" w:hAnsi="Arial" w:cs="Arial"/>
            <w:noProof/>
            <w:color w:val="0000FF"/>
            <w:sz w:val="20"/>
          </w:rPr>
          <w:drawing>
            <wp:inline distT="0" distB="0" distL="0" distR="0">
              <wp:extent cx="152400" cy="152400"/>
              <wp:effectExtent l="0" t="0" r="0" b="0"/>
              <wp:docPr id="64" name="Picture 64"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8" w:name="40:14.0.1.1.1.5.142.21"/>
      <w:bookmarkEnd w:id="28"/>
      <w:r w:rsidRPr="00001714">
        <w:rPr>
          <w:rFonts w:ascii="Arial" w:hAnsi="Arial" w:cs="Arial"/>
          <w:b/>
          <w:bCs/>
          <w:sz w:val="20"/>
        </w:rPr>
        <w:t>§63.7545 What notifications must I submit and when?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submit to the Administrator all of the notifications in §§63.7(b) and (c), 63.8(e), (f</w:t>
      </w:r>
      <w:proofErr w:type="gramStart"/>
      <w:r w:rsidRPr="00001714">
        <w:rPr>
          <w:rFonts w:ascii="Arial" w:hAnsi="Arial" w:cs="Arial"/>
          <w:sz w:val="20"/>
        </w:rPr>
        <w:t>)(</w:t>
      </w:r>
      <w:proofErr w:type="gramEnd"/>
      <w:r w:rsidRPr="00001714">
        <w:rPr>
          <w:rFonts w:ascii="Arial" w:hAnsi="Arial" w:cs="Arial"/>
          <w:sz w:val="20"/>
        </w:rPr>
        <w:t>4) and (6), and 63.9(b) through (h) that apply to you by the dates specified.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specified in §63.9(b</w:t>
      </w:r>
      <w:proofErr w:type="gramStart"/>
      <w:r w:rsidRPr="00001714">
        <w:rPr>
          <w:rFonts w:ascii="Arial" w:hAnsi="Arial" w:cs="Arial"/>
          <w:sz w:val="20"/>
        </w:rPr>
        <w:t>)(</w:t>
      </w:r>
      <w:proofErr w:type="gramEnd"/>
      <w:r w:rsidRPr="00001714">
        <w:rPr>
          <w:rFonts w:ascii="Arial" w:hAnsi="Arial" w:cs="Arial"/>
          <w:sz w:val="20"/>
        </w:rPr>
        <w:t>2), if you startup your affected source before January 31, 2013, you must submit an Initial Notification not later than 120 days after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As specified in §63.9(b)(4) and (5), if you startup your new or reconstructed affected source on or after January 31, 2013, you must submit an Initial Notification not later than 15 days after the actual date of startup of the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are required to conduct a performance test you must submit a Notification of Intent to conduct a performance test at least 60 days before the performance test is scheduled to begin.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are required to conduct an initial compliance demonstration as specified in §63.7530, you must submit a Notification of Compliance Status according to §63.9(h</w:t>
      </w:r>
      <w:proofErr w:type="gramStart"/>
      <w:r w:rsidRPr="00001714">
        <w:rPr>
          <w:rFonts w:ascii="Arial" w:hAnsi="Arial" w:cs="Arial"/>
          <w:sz w:val="20"/>
        </w:rPr>
        <w:t>)(</w:t>
      </w:r>
      <w:proofErr w:type="gramEnd"/>
      <w:r w:rsidRPr="00001714">
        <w:rPr>
          <w:rFonts w:ascii="Arial" w:hAnsi="Arial" w:cs="Arial"/>
          <w:sz w:val="20"/>
        </w:rPr>
        <w:t>2)(ii). For the initial compliance demonstration for each boiler or process heater, you must submit the Notification of Compliance Status, including all performance test results and fuel analyses, before the close of business on the 60th day following the completion of all performance test and/or other initial compliance demonstrations for all boiler or process heaters at the facility according to §63.10(d</w:t>
      </w:r>
      <w:proofErr w:type="gramStart"/>
      <w:r w:rsidRPr="00001714">
        <w:rPr>
          <w:rFonts w:ascii="Arial" w:hAnsi="Arial" w:cs="Arial"/>
          <w:sz w:val="20"/>
        </w:rPr>
        <w:t>)(</w:t>
      </w:r>
      <w:proofErr w:type="gramEnd"/>
      <w:r w:rsidRPr="00001714">
        <w:rPr>
          <w:rFonts w:ascii="Arial" w:hAnsi="Arial" w:cs="Arial"/>
          <w:sz w:val="20"/>
        </w:rPr>
        <w:t>2). The Notification of Compliance Status report must contain all the information specified in paragraphs (e</w:t>
      </w:r>
      <w:proofErr w:type="gramStart"/>
      <w:r w:rsidRPr="00001714">
        <w:rPr>
          <w:rFonts w:ascii="Arial" w:hAnsi="Arial" w:cs="Arial"/>
          <w:sz w:val="20"/>
        </w:rPr>
        <w:t>)(</w:t>
      </w:r>
      <w:proofErr w:type="gramEnd"/>
      <w:r w:rsidRPr="00001714">
        <w:rPr>
          <w:rFonts w:ascii="Arial" w:hAnsi="Arial" w:cs="Arial"/>
          <w:sz w:val="20"/>
        </w:rPr>
        <w:t>1) through (8), as applicable. If you are not required to conduct an initial compliance demonstration as specified in §63.7530(a), the Notification of Compliance Status must only contain the information specified in paragraphs (e</w:t>
      </w:r>
      <w:proofErr w:type="gramStart"/>
      <w:r w:rsidRPr="00001714">
        <w:rPr>
          <w:rFonts w:ascii="Arial" w:hAnsi="Arial" w:cs="Arial"/>
          <w:sz w:val="20"/>
        </w:rPr>
        <w:t>)(</w:t>
      </w:r>
      <w:proofErr w:type="gramEnd"/>
      <w:r w:rsidRPr="00001714">
        <w:rPr>
          <w:rFonts w:ascii="Arial" w:hAnsi="Arial" w:cs="Arial"/>
          <w:sz w:val="20"/>
        </w:rPr>
        <w:t>1) and (8).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Summary of the results of all performance tests and fuel analyses, and calculations conducted to demonstrate initial compliance including all established operating limits, and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Identification of whether you are complying with the PM emission limit or the alternative TSM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Identification of whether you are complying with the output-based emission limits or the heat input-based (i.e., lb/MMBtu or ppm)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 summary of the maximum CO emission levels recorded during the performance test to show that you have met any applicable emission standard in Tables 1, 2, or 11 through 13 to this subpart, if you are not using a CO CEMS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Identification of whether you plan to demonstrate compliance with each applicable emission limit through performance testing, a CEMS, or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Identification of whether you plan to demonstrate compliance by emissions averaging and identification of whether you plan to demonstrate compliance by using efficiency credits through energy conservation: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 If you plan to demonstrate compliance by emission averaging, report the emission level that was being achieved or the control technology employed on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 signed certification that you have met all applicable emission limits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If you had a deviation from any emission limit, work practice standard, or operating limit, you must also submit a description of the deviation, the duration of the deviation, and the corrective action taken in the Notification of Compliance Status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In addition to the information required in §63.9(h</w:t>
      </w:r>
      <w:proofErr w:type="gramStart"/>
      <w:r w:rsidRPr="00001714">
        <w:rPr>
          <w:rFonts w:ascii="Arial" w:hAnsi="Arial" w:cs="Arial"/>
          <w:sz w:val="20"/>
        </w:rPr>
        <w:t>)(</w:t>
      </w:r>
      <w:proofErr w:type="gramEnd"/>
      <w:r w:rsidRPr="00001714">
        <w:rPr>
          <w:rFonts w:ascii="Arial" w:hAnsi="Arial" w:cs="Arial"/>
          <w:sz w:val="20"/>
        </w:rPr>
        <w:t>2), your notification of compliance status must include the following certification(s) of compliance, as applicable, and signed by a responsible official: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“This facility complies with the required initial tune-up according to the procedures in §63.7540(a</w:t>
      </w:r>
      <w:proofErr w:type="gramStart"/>
      <w:r w:rsidRPr="00001714">
        <w:rPr>
          <w:rFonts w:ascii="Arial" w:hAnsi="Arial" w:cs="Arial"/>
          <w:sz w:val="20"/>
        </w:rPr>
        <w:t>)(</w:t>
      </w:r>
      <w:proofErr w:type="gramEnd"/>
      <w:r w:rsidRPr="00001714">
        <w:rPr>
          <w:rFonts w:ascii="Arial" w:hAnsi="Arial" w:cs="Arial"/>
          <w:sz w:val="20"/>
        </w:rPr>
        <w:t>10)(i) through (vi).”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“This facility has had an energy assessment performed according to §63.7530(e).”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operate a unit designed to burn natural gas, refinery gas, or other gas 1 fuels that is subject to this subpart, and you intend to use a fuel other than natural gas, refinery gas, gaseous fuel subject to another subpart of this part, part 60, 61, or 65, or other gas 1 fuel 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(f</w:t>
      </w:r>
      <w:proofErr w:type="gramStart"/>
      <w:r w:rsidRPr="00001714">
        <w:rPr>
          <w:rFonts w:ascii="Arial" w:hAnsi="Arial" w:cs="Arial"/>
          <w:sz w:val="20"/>
        </w:rPr>
        <w:t>)(</w:t>
      </w:r>
      <w:proofErr w:type="gramEnd"/>
      <w:r w:rsidRPr="00001714">
        <w:rPr>
          <w:rFonts w:ascii="Arial" w:hAnsi="Arial" w:cs="Arial"/>
          <w:sz w:val="20"/>
        </w:rPr>
        <w:t>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Company name and address.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Identification of the affected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Reason you are unable to use natural gas or equivalent fuel, including the date when the natural gas curtailment was declared or the natural gas supply interruption began.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Type of alternative fuel that you intend to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Dates when the alternative fuel use is expected to begin and end.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intend to commence or recommence combustion of solid waste, you must provide 30 days prior notice of the date upon which you will commence or recommence combustion of solid waste. The notification must identify: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name of the owner or operator of the affected source, as defined in §63.7490, the location of the source, the boiler(s) or process heater(s) that will commence burning solid waste, and the date of the notice.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currently applicable subcategories under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on which you became subject to the currently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(4) The date upon which you will commence combusting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have switched fuels or made a physical change to the boiler and the fuel switch or physical change resulted in the applicability of a different subcategory, you must provide notice of the date upon which you switched fuels or made the physical change within 30 days of the switch/change. The notification must identify: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name of the owner or operator of the affected source, as defined in §63.7490, the location of the source, the boiler(s) and process heater(s) that have switched fuels, were physically changed, and the date of the notice.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currently applicable subcategory under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upon which the fuel switch or physical change occurred.</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7183, Jan. 31, 2013]</w:t>
      </w:r>
    </w:p>
    <w:p w:rsidR="00F0171B" w:rsidRPr="00001714" w:rsidRDefault="0036167B" w:rsidP="00F0171B">
      <w:pPr>
        <w:spacing w:before="200" w:after="100" w:afterAutospacing="1"/>
        <w:rPr>
          <w:rFonts w:ascii="Arial" w:hAnsi="Arial" w:cs="Arial"/>
          <w:sz w:val="20"/>
        </w:rPr>
      </w:pPr>
      <w:hyperlink r:id="rId166" w:anchor="_top" w:history="1">
        <w:r w:rsidR="00F0171B" w:rsidRPr="00001714">
          <w:rPr>
            <w:rFonts w:ascii="Arial" w:hAnsi="Arial" w:cs="Arial"/>
            <w:noProof/>
            <w:color w:val="0000FF"/>
            <w:sz w:val="20"/>
          </w:rPr>
          <w:drawing>
            <wp:inline distT="0" distB="0" distL="0" distR="0">
              <wp:extent cx="152400" cy="152400"/>
              <wp:effectExtent l="0" t="0" r="0" b="0"/>
              <wp:docPr id="63" name="Picture 63"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9" w:name="40:14.0.1.1.1.5.142.22"/>
      <w:bookmarkEnd w:id="29"/>
      <w:r w:rsidRPr="00001714">
        <w:rPr>
          <w:rFonts w:ascii="Arial" w:hAnsi="Arial" w:cs="Arial"/>
          <w:b/>
          <w:bCs/>
          <w:sz w:val="20"/>
        </w:rPr>
        <w:t xml:space="preserve">§63.7550 </w:t>
      </w:r>
      <w:proofErr w:type="gramStart"/>
      <w:r w:rsidRPr="00001714">
        <w:rPr>
          <w:rFonts w:ascii="Arial" w:hAnsi="Arial" w:cs="Arial"/>
          <w:b/>
          <w:bCs/>
          <w:sz w:val="20"/>
        </w:rPr>
        <w:t>What</w:t>
      </w:r>
      <w:proofErr w:type="gramEnd"/>
      <w:r w:rsidRPr="00001714">
        <w:rPr>
          <w:rFonts w:ascii="Arial" w:hAnsi="Arial" w:cs="Arial"/>
          <w:b/>
          <w:bCs/>
          <w:sz w:val="20"/>
        </w:rPr>
        <w:t xml:space="preserve"> reports must I submit and when?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submit each report in Table 9 to this subpart that applies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Unless the EPA Administrator has approved a different schedule for submission of reports under §63.10(a),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§63.7540(a</w:t>
      </w:r>
      <w:proofErr w:type="gramStart"/>
      <w:r w:rsidRPr="00001714">
        <w:rPr>
          <w:rFonts w:ascii="Arial" w:hAnsi="Arial" w:cs="Arial"/>
          <w:sz w:val="20"/>
        </w:rPr>
        <w:t>)(</w:t>
      </w:r>
      <w:proofErr w:type="gramEnd"/>
      <w:r w:rsidRPr="00001714">
        <w:rPr>
          <w:rFonts w:ascii="Arial" w:hAnsi="Arial" w:cs="Arial"/>
          <w:sz w:val="20"/>
        </w:rPr>
        <w:t>10), (11), or (12), respectively, and not subject to emission limits or operating limits, you may submit only an annual, biennial, or 5-year compliance report, as applicable, as specified in paragraphs (b)(1) through (4) of this section, instead of a semi-annual compliance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first compliance report must cover the period beginning on the compliance date that is specified for each boiler or process heater in §63.7495 and ending on July 31 or January 31, whichever date is the first date that occurs at least 180 days (or 1, 2, or 5 years, as applicable, if submitting an annual, biennial, or 5-year compliance report) after the compliance date that is specified for your source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first compliance report must be postmarked or submitted no later than July 31 or January 31, whichever date is the first date following the end of the first calendar half after the compliance date that is specified for each boiler or process heater in §63.7495. The first annual, biennial, or 5-year compliance report must be postmarked or submitted no later than January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Each subsequent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Each subsequent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compliance report must contain the following information depending on how the facility chooses to comply with the limits set in this rule.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(1) If the facility is subject to a the requirements of a tune up they must submit a compliance report with the information in paragraphs (c</w:t>
      </w:r>
      <w:proofErr w:type="gramStart"/>
      <w:r w:rsidRPr="00001714">
        <w:rPr>
          <w:rFonts w:ascii="Arial" w:hAnsi="Arial" w:cs="Arial"/>
          <w:sz w:val="20"/>
        </w:rPr>
        <w:t>)(</w:t>
      </w:r>
      <w:proofErr w:type="gramEnd"/>
      <w:r w:rsidRPr="00001714">
        <w:rPr>
          <w:rFonts w:ascii="Arial" w:hAnsi="Arial" w:cs="Arial"/>
          <w:sz w:val="20"/>
        </w:rPr>
        <w:t>5)(i) through (iv) and (xiv)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a facility is complying with the fuel analysis they must submit a compliance report with the information in paragraphs (c</w:t>
      </w:r>
      <w:proofErr w:type="gramStart"/>
      <w:r w:rsidRPr="00001714">
        <w:rPr>
          <w:rFonts w:ascii="Arial" w:hAnsi="Arial" w:cs="Arial"/>
          <w:sz w:val="20"/>
        </w:rPr>
        <w:t>)(</w:t>
      </w:r>
      <w:proofErr w:type="gramEnd"/>
      <w:r w:rsidRPr="00001714">
        <w:rPr>
          <w:rFonts w:ascii="Arial" w:hAnsi="Arial" w:cs="Arial"/>
          <w:sz w:val="20"/>
        </w:rPr>
        <w:t>5)(i) through (iv), (vi), (x), (xi), (xiii), (xv) and paragraph (d)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a facility is complying with the applicable emissions limit with performance testing they must submit a compliance report with the information in (c</w:t>
      </w:r>
      <w:proofErr w:type="gramStart"/>
      <w:r w:rsidRPr="00001714">
        <w:rPr>
          <w:rFonts w:ascii="Arial" w:hAnsi="Arial" w:cs="Arial"/>
          <w:sz w:val="20"/>
        </w:rPr>
        <w:t>)(</w:t>
      </w:r>
      <w:proofErr w:type="gramEnd"/>
      <w:r w:rsidRPr="00001714">
        <w:rPr>
          <w:rFonts w:ascii="Arial" w:hAnsi="Arial" w:cs="Arial"/>
          <w:sz w:val="20"/>
        </w:rPr>
        <w:t>5)(i) through (iv), (vi), (vii), (ix), (xi), (xiii), (xv) and paragraph (d)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a facility is complying with an emissions limit using a CMS the compliance report must contain the information required in paragraphs (c)(5)(i) through (vi), (xi), (xiii), (xv) through (xvii), and paragraph (e)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(5)(i) Company and Facility name and address.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Process unit information, emissions limitations, and operating parameter limitations.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Date of report and beginning and ending dates of the reporting period.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The</w:t>
      </w:r>
      <w:proofErr w:type="gramEnd"/>
      <w:r w:rsidRPr="00001714">
        <w:rPr>
          <w:rFonts w:ascii="Arial" w:hAnsi="Arial" w:cs="Arial"/>
          <w:sz w:val="20"/>
        </w:rPr>
        <w:t xml:space="preserve"> total operating time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use a CMS, including CEMS, COMS, or CPMS, you must include the monitoring equipment manufacturer(s) and model numbers and the date of the last CMS certification or audit.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If you are conducting performance tests once every 3 years consistent with §63.7515(b) or (c), the date of the last 2 performance tests and a statement as to whether there have been any operational changes since the last performance test that could increase emissions.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§63.7530, that demonstrates that your source is still meeting the emission limit for TSM emissions (for boilers or process heaters that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(ix) 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 A summary of any monthly fuel analyses conducted to demonstrate compliance according to §§63.7521 and 63.7530 for individual boilers or process heaters subject to emission limits, and any fuel specification analyses conducted according to §§63.7521(f) and 63.7530(g).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 If there are no deviations from any emission limits or operating limits in this subpart that apply to you, a statement that there were no deviations from the emission limits or operating limits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 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(xiii)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 If you plan to demonstrate compliance by emission averaging, certify the emission level achieved or the control technology employed is no less stringent than the level or control technology contained in the notification of compliance status in §63.7545(e)(5)(i).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(xvi) For each reporting period, the compliance reports must include all of the calculated 30 day rolling average values based on the daily CEMS (CO and mercury) and CPMS (PM CPMS output, scrubber pH, scrubber liquid flow rate, scrubber pressure drop)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(xvii) Statement by a responsible official with that official's name, title, and signature, certifying the truth, accuracy, and completeness of the content of the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description of the deviation and which emission limit or operating limit from which you deviated.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Information on the number, duration, and cause of deviations (including unknown cause), as applicable, and the corrective action taken.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the deviation occurred during an annual performance test, provide the date the annual performance test was completed.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(e) For each deviation from an emission limit, operating limit, and monitoring requirement in this subpart occurring at an individual boiler or process heater where you are using a CMS to comply with that emission limit or operating limit, the compliance report must additionally contain the information required in paragraphs (e)(1) through (9) of this section. This includes any deviations from your site-specific monitoring plan as required in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date and time that each deviation started and stopped and description of the nature of the deviation (i.e., what you deviated from).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date and time that each CMS was inoperative, except for zero (low-level) and high-level checks.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time, and duration that each CMS was out of control, including the information in §63.8(c</w:t>
      </w:r>
      <w:proofErr w:type="gramStart"/>
      <w:r w:rsidRPr="00001714">
        <w:rPr>
          <w:rFonts w:ascii="Arial" w:hAnsi="Arial" w:cs="Arial"/>
          <w:sz w:val="20"/>
        </w:rPr>
        <w:t>)(</w:t>
      </w:r>
      <w:proofErr w:type="gramEnd"/>
      <w:r w:rsidRPr="00001714">
        <w:rPr>
          <w:rFonts w:ascii="Arial" w:hAnsi="Arial" w:cs="Arial"/>
          <w:sz w:val="20"/>
        </w:rPr>
        <w:t>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date and time that each deviation started and stopped.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 summary of the total duration of the deviation during the reporting period and the total duration as a percent of the total source operating time during that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 characterization of the total duration of the deviations during the reporting period into those that are due to control equipment problems, process problems, other known causes, and other unknown causes.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A summary of the total duration of CMS's downtime during the reporting period and the total duration of CMS downtime as a percent of the total source operating time during that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A brief description of the source for which there was a deviation.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A description of any changes in CMSs, processes, or controls since the last reporting period for the source for which there was a deviation.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w:t>
      </w:r>
      <w:proofErr w:type="gramStart"/>
      <w:r w:rsidRPr="00001714">
        <w:rPr>
          <w:rFonts w:ascii="Arial" w:hAnsi="Arial" w:cs="Arial"/>
          <w:sz w:val="20"/>
        </w:rPr>
        <w:t>-(</w:t>
      </w:r>
      <w:proofErr w:type="gramEnd"/>
      <w:r w:rsidRPr="00001714">
        <w:rPr>
          <w:rFonts w:ascii="Arial" w:hAnsi="Arial" w:cs="Arial"/>
          <w:sz w:val="20"/>
        </w:rPr>
        <w:t>g)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You must submit the reports according to the procedures specified in paragraphs (h</w:t>
      </w:r>
      <w:proofErr w:type="gramStart"/>
      <w:r w:rsidRPr="00001714">
        <w:rPr>
          <w:rFonts w:ascii="Arial" w:hAnsi="Arial" w:cs="Arial"/>
          <w:sz w:val="20"/>
        </w:rPr>
        <w:t>)(</w:t>
      </w:r>
      <w:proofErr w:type="gramEnd"/>
      <w:r w:rsidRPr="00001714">
        <w:rPr>
          <w:rFonts w:ascii="Arial" w:hAnsi="Arial" w:cs="Arial"/>
          <w:sz w:val="20"/>
        </w:rPr>
        <w:t>1) through (3)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WebFIRE database by using the Compliance and Emissions Data Reporting Interface (CEDRI) that is accessed through the EPA's Central Data Exchange (CDX) (</w:t>
      </w:r>
      <w:r w:rsidRPr="00001714">
        <w:rPr>
          <w:rFonts w:ascii="Arial" w:hAnsi="Arial" w:cs="Arial"/>
          <w:i/>
          <w:iCs/>
          <w:sz w:val="20"/>
        </w:rPr>
        <w:t>www.epa.gov/cdx</w:t>
      </w:r>
      <w:r w:rsidRPr="00001714">
        <w:rPr>
          <w:rFonts w:ascii="Arial" w:hAnsi="Arial" w:cs="Arial"/>
          <w:sz w:val="20"/>
        </w:rPr>
        <w:t xml:space="preserve">). Performance test data must be submitted in the file format generated through use of the EPA's Electronic Reporting Tool (ERT) (see </w:t>
      </w:r>
      <w:r w:rsidRPr="00001714">
        <w:rPr>
          <w:rFonts w:ascii="Arial" w:hAnsi="Arial" w:cs="Arial"/>
          <w:i/>
          <w:iCs/>
          <w:sz w:val="20"/>
        </w:rPr>
        <w:t>http://www.epa.gov/ttn/chief/ert/index.html</w:t>
      </w:r>
      <w:r w:rsidRPr="00001714">
        <w:rPr>
          <w:rFonts w:ascii="Arial" w:hAnsi="Arial" w:cs="Arial"/>
          <w:sz w:val="20"/>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(2) Within 60 days after the date of completing each CEMS performance evaluation test (defined in 63.2) you must submit the relative accuracy test audit (RATA) data to the EPA's Central Data Exchange by using CEDRI as mentioned in paragraph (h)(1)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submit all reports required by Table 9 of this subpart electronically using CEDRI that is accessed through the EPA's Central Data Exchange (CDX) (</w:t>
      </w:r>
      <w:r w:rsidRPr="00001714">
        <w:rPr>
          <w:rFonts w:ascii="Arial" w:hAnsi="Arial" w:cs="Arial"/>
          <w:i/>
          <w:iCs/>
          <w:sz w:val="20"/>
        </w:rPr>
        <w:t>www.epa.gov/cdx</w:t>
      </w:r>
      <w:r w:rsidRPr="00001714">
        <w:rPr>
          <w:rFonts w:ascii="Arial" w:hAnsi="Arial" w:cs="Arial"/>
          <w:sz w:val="20"/>
        </w:rPr>
        <w:t>).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7183, Jan. 31, 2013]</w:t>
      </w:r>
    </w:p>
    <w:p w:rsidR="00F0171B" w:rsidRPr="00001714" w:rsidRDefault="0036167B" w:rsidP="00F0171B">
      <w:pPr>
        <w:spacing w:before="200" w:after="100" w:afterAutospacing="1"/>
        <w:rPr>
          <w:rFonts w:ascii="Arial" w:hAnsi="Arial" w:cs="Arial"/>
          <w:sz w:val="20"/>
        </w:rPr>
      </w:pPr>
      <w:hyperlink r:id="rId167" w:anchor="_top" w:history="1">
        <w:r w:rsidR="00F0171B" w:rsidRPr="00001714">
          <w:rPr>
            <w:rFonts w:ascii="Arial" w:hAnsi="Arial" w:cs="Arial"/>
            <w:noProof/>
            <w:color w:val="0000FF"/>
            <w:sz w:val="20"/>
          </w:rPr>
          <w:drawing>
            <wp:inline distT="0" distB="0" distL="0" distR="0">
              <wp:extent cx="152400" cy="152400"/>
              <wp:effectExtent l="0" t="0" r="0" b="0"/>
              <wp:docPr id="62" name="Picture 62"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0" w:name="40:14.0.1.1.1.5.142.23"/>
      <w:bookmarkEnd w:id="30"/>
      <w:r w:rsidRPr="00001714">
        <w:rPr>
          <w:rFonts w:ascii="Arial" w:hAnsi="Arial" w:cs="Arial"/>
          <w:b/>
          <w:bCs/>
          <w:sz w:val="20"/>
        </w:rPr>
        <w:t xml:space="preserve">§63.7555 </w:t>
      </w:r>
      <w:proofErr w:type="gramStart"/>
      <w:r w:rsidRPr="00001714">
        <w:rPr>
          <w:rFonts w:ascii="Arial" w:hAnsi="Arial" w:cs="Arial"/>
          <w:b/>
          <w:bCs/>
          <w:sz w:val="20"/>
        </w:rPr>
        <w:t>What</w:t>
      </w:r>
      <w:proofErr w:type="gramEnd"/>
      <w:r w:rsidRPr="00001714">
        <w:rPr>
          <w:rFonts w:ascii="Arial" w:hAnsi="Arial" w:cs="Arial"/>
          <w:b/>
          <w:bCs/>
          <w:sz w:val="20"/>
        </w:rPr>
        <w:t xml:space="preserve"> records must I keep?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keep records according to paragraphs (a</w:t>
      </w:r>
      <w:proofErr w:type="gramStart"/>
      <w:r w:rsidRPr="00001714">
        <w:rPr>
          <w:rFonts w:ascii="Arial" w:hAnsi="Arial" w:cs="Arial"/>
          <w:sz w:val="20"/>
        </w:rPr>
        <w:t>)(</w:t>
      </w:r>
      <w:proofErr w:type="gramEnd"/>
      <w:r w:rsidRPr="00001714">
        <w:rPr>
          <w:rFonts w:ascii="Arial" w:hAnsi="Arial" w:cs="Arial"/>
          <w:sz w:val="20"/>
        </w:rPr>
        <w:t>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copy of each notification and report that you submitted to comply with this subpart, including all documentation supporting any Initial Notification or Notification of Compliance Status or semiannual compliance report that you submitted, according to the requirements in §63.10(b)(2)(xiv).</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Records of performance tests, fuel analyses, or other compliance demonstrations and performance evaluations as required in §63.10(b</w:t>
      </w:r>
      <w:proofErr w:type="gramStart"/>
      <w:r w:rsidRPr="00001714">
        <w:rPr>
          <w:rFonts w:ascii="Arial" w:hAnsi="Arial" w:cs="Arial"/>
          <w:sz w:val="20"/>
        </w:rPr>
        <w:t>)(</w:t>
      </w:r>
      <w:proofErr w:type="gramEnd"/>
      <w:r w:rsidRPr="00001714">
        <w:rPr>
          <w:rFonts w:ascii="Arial" w:hAnsi="Arial" w:cs="Arial"/>
          <w:sz w:val="20"/>
        </w:rPr>
        <w:t>2)(viii).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CEMS, COMS, and continuous monitoring system you must keep records according to paragraphs (b</w:t>
      </w:r>
      <w:proofErr w:type="gramStart"/>
      <w:r w:rsidRPr="00001714">
        <w:rPr>
          <w:rFonts w:ascii="Arial" w:hAnsi="Arial" w:cs="Arial"/>
          <w:sz w:val="20"/>
        </w:rPr>
        <w:t>)(</w:t>
      </w:r>
      <w:proofErr w:type="gramEnd"/>
      <w:r w:rsidRPr="00001714">
        <w:rPr>
          <w:rFonts w:ascii="Arial" w:hAnsi="Arial" w:cs="Arial"/>
          <w:sz w:val="20"/>
        </w:rPr>
        <w:t>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Records described in §63.10(b</w:t>
      </w:r>
      <w:proofErr w:type="gramStart"/>
      <w:r w:rsidRPr="00001714">
        <w:rPr>
          <w:rFonts w:ascii="Arial" w:hAnsi="Arial" w:cs="Arial"/>
          <w:sz w:val="20"/>
        </w:rPr>
        <w:t>)(</w:t>
      </w:r>
      <w:proofErr w:type="gramEnd"/>
      <w:r w:rsidRPr="00001714">
        <w:rPr>
          <w:rFonts w:ascii="Arial" w:hAnsi="Arial" w:cs="Arial"/>
          <w:sz w:val="20"/>
        </w:rPr>
        <w:t>2)(vii) through (xi).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Monitoring data for continuous opacity monitoring system during a performance evaluation as required in §63.6(h</w:t>
      </w:r>
      <w:proofErr w:type="gramStart"/>
      <w:r w:rsidRPr="00001714">
        <w:rPr>
          <w:rFonts w:ascii="Arial" w:hAnsi="Arial" w:cs="Arial"/>
          <w:sz w:val="20"/>
        </w:rPr>
        <w:t>)(</w:t>
      </w:r>
      <w:proofErr w:type="gramEnd"/>
      <w:r w:rsidRPr="00001714">
        <w:rPr>
          <w:rFonts w:ascii="Arial" w:hAnsi="Arial" w:cs="Arial"/>
          <w:sz w:val="20"/>
        </w:rPr>
        <w:t>7)(i) and (ii).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Previous (</w:t>
      </w:r>
      <w:r w:rsidRPr="00001714">
        <w:rPr>
          <w:rFonts w:ascii="Arial" w:hAnsi="Arial" w:cs="Arial"/>
          <w:i/>
          <w:iCs/>
          <w:sz w:val="20"/>
        </w:rPr>
        <w:t>i.e.,</w:t>
      </w:r>
      <w:r w:rsidRPr="00001714">
        <w:rPr>
          <w:rFonts w:ascii="Arial" w:hAnsi="Arial" w:cs="Arial"/>
          <w:sz w:val="20"/>
        </w:rPr>
        <w:t xml:space="preserve"> superseded) versions of the performance evaluation plan as required in §63.8(d</w:t>
      </w:r>
      <w:proofErr w:type="gramStart"/>
      <w:r w:rsidRPr="00001714">
        <w:rPr>
          <w:rFonts w:ascii="Arial" w:hAnsi="Arial" w:cs="Arial"/>
          <w:sz w:val="20"/>
        </w:rPr>
        <w:t>)(</w:t>
      </w:r>
      <w:proofErr w:type="gramEnd"/>
      <w:r w:rsidRPr="00001714">
        <w:rPr>
          <w:rFonts w:ascii="Arial" w:hAnsi="Arial" w:cs="Arial"/>
          <w:sz w:val="20"/>
        </w:rPr>
        <w:t>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Request for alternatives to relative accuracy test for CEMS as required in §63.8(f</w:t>
      </w:r>
      <w:proofErr w:type="gramStart"/>
      <w:r w:rsidRPr="00001714">
        <w:rPr>
          <w:rFonts w:ascii="Arial" w:hAnsi="Arial" w:cs="Arial"/>
          <w:sz w:val="20"/>
        </w:rPr>
        <w:t>)(</w:t>
      </w:r>
      <w:proofErr w:type="gramEnd"/>
      <w:r w:rsidRPr="00001714">
        <w:rPr>
          <w:rFonts w:ascii="Arial" w:hAnsi="Arial" w:cs="Arial"/>
          <w:sz w:val="20"/>
        </w:rPr>
        <w:t>6)(i).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Records of the date and time that each deviation started and stopped.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keep the records required in Table 8 to this subpart including records of all monitoring data and calculated averages for applicable operating limits, such as opacity, pressure drop, pH, and operating load, to show continuous compliance with each emission limit and operating limit that applies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each boiler or process heater subject to an emission limit in Tables 1, 2, or 11 through 13 to this subpart, you must also keep the applicable records in paragraphs (d</w:t>
      </w:r>
      <w:proofErr w:type="gramStart"/>
      <w:r w:rsidRPr="00001714">
        <w:rPr>
          <w:rFonts w:ascii="Arial" w:hAnsi="Arial" w:cs="Arial"/>
          <w:sz w:val="20"/>
        </w:rPr>
        <w:t>)(</w:t>
      </w:r>
      <w:proofErr w:type="gramEnd"/>
      <w:r w:rsidRPr="00001714">
        <w:rPr>
          <w:rFonts w:ascii="Arial" w:hAnsi="Arial" w:cs="Arial"/>
          <w:sz w:val="20"/>
        </w:rPr>
        <w:t>1) through (11)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keep records of monthly fuel use by each boiler or process heater, including the type(s) of fuel and amount(s) used.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(2) If you combust non-hazardous secondary materials that have been determined not to be solid waste pursuant to §241.3(b</w:t>
      </w:r>
      <w:proofErr w:type="gramStart"/>
      <w:r w:rsidRPr="00001714">
        <w:rPr>
          <w:rFonts w:ascii="Arial" w:hAnsi="Arial" w:cs="Arial"/>
          <w:sz w:val="20"/>
        </w:rPr>
        <w:t>)(</w:t>
      </w:r>
      <w:proofErr w:type="gramEnd"/>
      <w:r w:rsidRPr="00001714">
        <w:rPr>
          <w:rFonts w:ascii="Arial" w:hAnsi="Arial" w:cs="Arial"/>
          <w:sz w:val="20"/>
        </w:rPr>
        <w:t>1) and (2) of this chapter, you must keep a record that documents how the secondary material meets each of the legitimacy criteria under §241.3(d)(1) of this chapter. If you combust a fuel that has been processed from a discarded non-hazardous secondary material pursuant to §241.3(b</w:t>
      </w:r>
      <w:proofErr w:type="gramStart"/>
      <w:r w:rsidRPr="00001714">
        <w:rPr>
          <w:rFonts w:ascii="Arial" w:hAnsi="Arial" w:cs="Arial"/>
          <w:sz w:val="20"/>
        </w:rPr>
        <w:t>)(</w:t>
      </w:r>
      <w:proofErr w:type="gramEnd"/>
      <w:r w:rsidRPr="00001714">
        <w:rPr>
          <w:rFonts w:ascii="Arial" w:hAnsi="Arial" w:cs="Arial"/>
          <w:sz w:val="20"/>
        </w:rPr>
        <w:t>4) of this chapter, you must keep records as to how the operations that produced the fuel satisfy the definition of processing in §241.2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of this chapter, you must keep records documenting that the material is listed as a non-waste under §241.4(a) of this chapter. Units exempt from the incinerator standards under section 129(g)(1) of the Clean Air Act because they are qualifying facilities burning a homogeneous waste stream do not need to maintain the records described in this paragraph (d)(2).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units in the limited use subcategory, you must keep a copy of the federally enforceable permit that limits the annual capacity factor to less than or equal to 10 percent and fuel use records for the days the boiler or process heater was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 copy of all calculations and supporting documentation of maximum chlorine fuel input, using Equation 7 of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§63.7530, that were done to demonstrate compliance with the HCl emission limit. Supporting documentation should include results of any fuel analyses and basis for the estimates of maximum chlorine fuel input or HCl emission rates. You can use the results from one fuel analysis for multiple boilers and process heaters provided they are all burning the same fuel type. However, you must calculate chlorine fuel input, or HCl emission rate,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 copy of all calculations and supporting documentation of maximum mercury fuel input, using Equation 8 of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§63.7530, that were done to demonstrate compliance with the mercury emission limit. Supporting documentation should include results of any fuel analyses and basis for the estimates of maximum mercury fuel input or mercury emission rates. You can use the results from one fuel analysis for multiple boilers and process heaters provided they are all burning the same fuel type. However, you must calculate mercury fuel input, or mercury emission rates,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consistent with §63.7515(b), you choose to stack test less frequently than annually, you must keep a record that documents that your emissions in the previous stack test(s) were less than 75 percent of the applicable emission limit (or, in specific instances noted in Tables 1 and 2 or 11 through 13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Records of the occurrence and duration of each malfunction of the boiler or process heater, or of the associated air pollution control and monitoring equipment.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Records of actions taken during periods of malfunction to minimize emissions in accordance with the general duty to minimize emissions in §63.7500(a)(3), including corrective actions to restore the malfunctioning boiler or process heater, air pollution control, or monitoring equipment to its normal or usual manner of operation.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(9) A copy of all calculations and supporting documentation of maximum TSM fuel input, using Equation 9 of §63.7530, that were done to demonstrate continuous compliance with the TSM emission limit for sources that </w:t>
      </w:r>
      <w:r w:rsidRPr="00001714">
        <w:rPr>
          <w:rFonts w:ascii="Arial" w:hAnsi="Arial" w:cs="Arial"/>
          <w:sz w:val="20"/>
        </w:rPr>
        <w:lastRenderedPageBreak/>
        <w:t>demonstrate compliance through performance testing. For sources that demonstrate compliance through fuel analysis, a copy of all calculations and supporting documentation of TSM emission rates, using Equation 14 of §63.7530, that were done to demonstrate compliance with the TSM emission limit. Supporting documentation should include results of any fuel analyses and basis for the estimates of maximum TSM fuel input or TSM emission rates. You can use the results from one fuel analysis for multiple boilers and process heaters provided they are all burning the same fuel type. However, you must calculate TSM fuel input, or TSM emission rates,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(10) You must maintain records of the calendar date, time, occurrence and duration of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(11) You must maintain records of the type(s) and amount(s) of fuels used during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elect to average emissions consistent with §63.7522, you must additionally keep a copy of the emission averaging implementation plan required in §63.7522(g), all calculations required under §63.7522, including monthly records of heat input or steam generation, as applicable, and monitoring records consistent with §63.7541.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elect to use efficiency credits from energy conservation measures to demonstrate compliance according to §63.7533, you must keep a copy of the Implementation Plan required in §63.7533(d) and copies of all data and calculations used to establish credits according to §63.7533(b), (c), and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elected to demonstrate that the unit meets the specification for mercury for the unit designed to burn gas 1 subcategory, you must maintain monthly records (or at the frequency required by §63.7540(c)) of the calculations and results of the fuel specification for mercury in Table 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operate a unit in the unit designed to burn gas 1 subcategory that is subject to this subpart, and you use an alternative fuel other than natural gas, refinery gas, gaseous fuel subject to another subpart under this part, other gas 1 fuel, or gaseous fuel subject to another subpart of this part or part 60, 61, or 65, you must keep records of the total hours per calendar year that alternative fuel is burned and the total hours per calendar year that the unit operated during periods of gas curtailment or gas supply emergencies.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maintain records of the calendar date, time, occurrence and duration of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You must maintain records of the type(s) and amount(s) of fuels used during each startup and shutdown.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7185, Jan. 31, 2013]</w:t>
      </w:r>
    </w:p>
    <w:p w:rsidR="00F0171B" w:rsidRPr="00001714" w:rsidRDefault="0036167B" w:rsidP="00F0171B">
      <w:pPr>
        <w:spacing w:before="200" w:after="100" w:afterAutospacing="1"/>
        <w:rPr>
          <w:rFonts w:ascii="Arial" w:hAnsi="Arial" w:cs="Arial"/>
          <w:sz w:val="20"/>
        </w:rPr>
      </w:pPr>
      <w:hyperlink r:id="rId168" w:anchor="_top" w:history="1">
        <w:r w:rsidR="00F0171B" w:rsidRPr="00001714">
          <w:rPr>
            <w:rFonts w:ascii="Arial" w:hAnsi="Arial" w:cs="Arial"/>
            <w:noProof/>
            <w:color w:val="0000FF"/>
            <w:sz w:val="20"/>
          </w:rPr>
          <w:drawing>
            <wp:inline distT="0" distB="0" distL="0" distR="0">
              <wp:extent cx="152400" cy="152400"/>
              <wp:effectExtent l="0" t="0" r="0" b="0"/>
              <wp:docPr id="61" name="Picture 61"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1" w:name="40:14.0.1.1.1.5.142.24"/>
      <w:bookmarkEnd w:id="31"/>
      <w:r w:rsidRPr="00001714">
        <w:rPr>
          <w:rFonts w:ascii="Arial" w:hAnsi="Arial" w:cs="Arial"/>
          <w:b/>
          <w:bCs/>
          <w:sz w:val="20"/>
        </w:rPr>
        <w:t xml:space="preserve">§63.7560 </w:t>
      </w:r>
      <w:proofErr w:type="gramStart"/>
      <w:r w:rsidRPr="00001714">
        <w:rPr>
          <w:rFonts w:ascii="Arial" w:hAnsi="Arial" w:cs="Arial"/>
          <w:b/>
          <w:bCs/>
          <w:sz w:val="20"/>
        </w:rPr>
        <w:t>In</w:t>
      </w:r>
      <w:proofErr w:type="gramEnd"/>
      <w:r w:rsidRPr="00001714">
        <w:rPr>
          <w:rFonts w:ascii="Arial" w:hAnsi="Arial" w:cs="Arial"/>
          <w:b/>
          <w:bCs/>
          <w:sz w:val="20"/>
        </w:rPr>
        <w:t xml:space="preserve"> what form and how long must I keep my records?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Your records must be in a form suitable and readily available for expeditious review, according to §63.10(b</w:t>
      </w:r>
      <w:proofErr w:type="gramStart"/>
      <w:r w:rsidRPr="00001714">
        <w:rPr>
          <w:rFonts w:ascii="Arial" w:hAnsi="Arial" w:cs="Arial"/>
          <w:sz w:val="20"/>
        </w:rPr>
        <w:t>)(</w:t>
      </w:r>
      <w:proofErr w:type="gramEnd"/>
      <w:r w:rsidRPr="00001714">
        <w:rPr>
          <w:rFonts w:ascii="Arial" w:hAnsi="Arial" w:cs="Arial"/>
          <w:sz w:val="20"/>
        </w:rPr>
        <w:t>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specified in §63.10(b)(1), you must keep each record for 5 years following the date of each occurrence, measurement, maintenance, corrective action, report, or record.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keep each record on site, or they must be accessible from on site (for example, through a computer network), for at least 2 years after the date of each occurrence, measurement, maintenance, corrective action, report, or record, according to §63.10(b)(1). You can keep the records off site for the remaining 3 years.</w:t>
      </w:r>
    </w:p>
    <w:p w:rsidR="00F0171B" w:rsidRPr="00001714" w:rsidRDefault="0036167B" w:rsidP="00F0171B">
      <w:pPr>
        <w:spacing w:before="200" w:after="100" w:afterAutospacing="1"/>
        <w:rPr>
          <w:rFonts w:ascii="Arial" w:hAnsi="Arial" w:cs="Arial"/>
          <w:sz w:val="20"/>
        </w:rPr>
      </w:pPr>
      <w:hyperlink r:id="rId169" w:anchor="_top" w:history="1">
        <w:r w:rsidR="00F0171B" w:rsidRPr="00001714">
          <w:rPr>
            <w:rFonts w:ascii="Arial" w:hAnsi="Arial" w:cs="Arial"/>
            <w:noProof/>
            <w:color w:val="0000FF"/>
            <w:sz w:val="20"/>
          </w:rPr>
          <w:drawing>
            <wp:inline distT="0" distB="0" distL="0" distR="0">
              <wp:extent cx="152400" cy="152400"/>
              <wp:effectExtent l="0" t="0" r="0" b="0"/>
              <wp:docPr id="60" name="Picture 60"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32" w:name="40:14.0.1.1.1.5.143"/>
      <w:bookmarkEnd w:id="32"/>
      <w:r w:rsidRPr="00001714">
        <w:rPr>
          <w:rFonts w:ascii="Arial" w:hAnsi="Arial" w:cs="Arial"/>
          <w:b/>
          <w:bCs/>
          <w:smallCaps/>
          <w:sz w:val="20"/>
        </w:rPr>
        <w:t>Other Requirements and Information</w:t>
      </w:r>
    </w:p>
    <w:p w:rsidR="00F0171B" w:rsidRPr="00001714" w:rsidRDefault="0036167B" w:rsidP="00F0171B">
      <w:pPr>
        <w:spacing w:before="200" w:after="100" w:afterAutospacing="1"/>
        <w:rPr>
          <w:rFonts w:ascii="Arial" w:hAnsi="Arial" w:cs="Arial"/>
          <w:sz w:val="20"/>
        </w:rPr>
      </w:pPr>
      <w:hyperlink r:id="rId170" w:anchor="_top" w:history="1">
        <w:r w:rsidR="00F0171B" w:rsidRPr="00001714">
          <w:rPr>
            <w:rFonts w:ascii="Arial" w:hAnsi="Arial" w:cs="Arial"/>
            <w:noProof/>
            <w:color w:val="0000FF"/>
            <w:sz w:val="20"/>
          </w:rPr>
          <w:drawing>
            <wp:inline distT="0" distB="0" distL="0" distR="0">
              <wp:extent cx="152400" cy="152400"/>
              <wp:effectExtent l="0" t="0" r="0" b="0"/>
              <wp:docPr id="59" name="Picture 5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3" w:name="40:14.0.1.1.1.5.143.25"/>
      <w:bookmarkEnd w:id="33"/>
      <w:r w:rsidRPr="00001714">
        <w:rPr>
          <w:rFonts w:ascii="Arial" w:hAnsi="Arial" w:cs="Arial"/>
          <w:b/>
          <w:bCs/>
          <w:sz w:val="20"/>
        </w:rPr>
        <w:t xml:space="preserve">§63.7565 </w:t>
      </w:r>
      <w:proofErr w:type="gramStart"/>
      <w:r w:rsidRPr="00001714">
        <w:rPr>
          <w:rFonts w:ascii="Arial" w:hAnsi="Arial" w:cs="Arial"/>
          <w:b/>
          <w:bCs/>
          <w:sz w:val="20"/>
        </w:rPr>
        <w:t>What</w:t>
      </w:r>
      <w:proofErr w:type="gramEnd"/>
      <w:r w:rsidRPr="00001714">
        <w:rPr>
          <w:rFonts w:ascii="Arial" w:hAnsi="Arial" w:cs="Arial"/>
          <w:b/>
          <w:bCs/>
          <w:sz w:val="20"/>
        </w:rPr>
        <w:t xml:space="preserve"> parts of the General Provisions apply to me?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Table 10 to this subpart shows which parts of the General Provisions in §§63.1 through 63.15 apply to you.</w:t>
      </w:r>
    </w:p>
    <w:p w:rsidR="00F0171B" w:rsidRPr="00001714" w:rsidRDefault="0036167B" w:rsidP="00F0171B">
      <w:pPr>
        <w:spacing w:before="200" w:after="100" w:afterAutospacing="1"/>
        <w:rPr>
          <w:rFonts w:ascii="Arial" w:hAnsi="Arial" w:cs="Arial"/>
          <w:sz w:val="20"/>
        </w:rPr>
      </w:pPr>
      <w:hyperlink r:id="rId171" w:anchor="_top" w:history="1">
        <w:r w:rsidR="00F0171B" w:rsidRPr="00001714">
          <w:rPr>
            <w:rFonts w:ascii="Arial" w:hAnsi="Arial" w:cs="Arial"/>
            <w:noProof/>
            <w:color w:val="0000FF"/>
            <w:sz w:val="20"/>
          </w:rPr>
          <w:drawing>
            <wp:inline distT="0" distB="0" distL="0" distR="0">
              <wp:extent cx="152400" cy="152400"/>
              <wp:effectExtent l="0" t="0" r="0" b="0"/>
              <wp:docPr id="58" name="Picture 58"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4" w:name="40:14.0.1.1.1.5.143.26"/>
      <w:bookmarkEnd w:id="34"/>
      <w:r w:rsidRPr="00001714">
        <w:rPr>
          <w:rFonts w:ascii="Arial" w:hAnsi="Arial" w:cs="Arial"/>
          <w:b/>
          <w:bCs/>
          <w:sz w:val="20"/>
        </w:rPr>
        <w:t xml:space="preserve">§63.7570 </w:t>
      </w:r>
      <w:proofErr w:type="gramStart"/>
      <w:r w:rsidRPr="00001714">
        <w:rPr>
          <w:rFonts w:ascii="Arial" w:hAnsi="Arial" w:cs="Arial"/>
          <w:b/>
          <w:bCs/>
          <w:sz w:val="20"/>
        </w:rPr>
        <w:t>Who</w:t>
      </w:r>
      <w:proofErr w:type="gramEnd"/>
      <w:r w:rsidRPr="00001714">
        <w:rPr>
          <w:rFonts w:ascii="Arial" w:hAnsi="Arial" w:cs="Arial"/>
          <w:b/>
          <w:bCs/>
          <w:sz w:val="20"/>
        </w:rPr>
        <w:t xml:space="preserve"> implements and enforces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This subpart can be implemented and enforced by the EPA, or an Administrator such as your state, local, or tribal agency. If the EPA Administrator has delegated authority to your state, local, or tribal agency, then that agency (as well as the EPA) has the authority to implement and enforce this subpart. You should contact your EPA Regional Office to find out if this subpart is delegated to your state, local, or tribal agency.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In delegating implementation and enforcement authority of this subpart to a state, local, or tribal agency under 40 CFR part 63, subpart E, the authorities listed in paragraphs (b</w:t>
      </w:r>
      <w:proofErr w:type="gramStart"/>
      <w:r w:rsidRPr="00001714">
        <w:rPr>
          <w:rFonts w:ascii="Arial" w:hAnsi="Arial" w:cs="Arial"/>
          <w:sz w:val="20"/>
        </w:rPr>
        <w:t>)(</w:t>
      </w:r>
      <w:proofErr w:type="gramEnd"/>
      <w:r w:rsidRPr="00001714">
        <w:rPr>
          <w:rFonts w:ascii="Arial" w:hAnsi="Arial" w:cs="Arial"/>
          <w:sz w:val="20"/>
        </w:rPr>
        <w:t>1) through (5) of this section are retained by the EPA Administrator and are not transferred to the state, local, or tribal agency, however, the EPA retains oversight of this subpart and can take enforcement actions, as appropriate.</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(1) Approval of alternatives to the non-opacity emission limits and work practice standards in §63.7500(a) and (b) under §63.6(g).</w:t>
      </w:r>
      <w:proofErr w:type="gramEnd"/>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Approval of alternative opacity emission limits in §63.7500(a) under §63.6(h</w:t>
      </w:r>
      <w:proofErr w:type="gramStart"/>
      <w:r w:rsidRPr="00001714">
        <w:rPr>
          <w:rFonts w:ascii="Arial" w:hAnsi="Arial" w:cs="Arial"/>
          <w:sz w:val="20"/>
        </w:rPr>
        <w:t>)(</w:t>
      </w:r>
      <w:proofErr w:type="gramEnd"/>
      <w:r w:rsidRPr="00001714">
        <w:rPr>
          <w:rFonts w:ascii="Arial" w:hAnsi="Arial" w:cs="Arial"/>
          <w:sz w:val="20"/>
        </w:rPr>
        <w:t>9).</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Approval of major change to test methods in Table 5 to this subpart under §63.7(e</w:t>
      </w:r>
      <w:proofErr w:type="gramStart"/>
      <w:r w:rsidRPr="00001714">
        <w:rPr>
          <w:rFonts w:ascii="Arial" w:hAnsi="Arial" w:cs="Arial"/>
          <w:sz w:val="20"/>
        </w:rPr>
        <w:t>)(</w:t>
      </w:r>
      <w:proofErr w:type="gramEnd"/>
      <w:r w:rsidRPr="00001714">
        <w:rPr>
          <w:rFonts w:ascii="Arial" w:hAnsi="Arial" w:cs="Arial"/>
          <w:sz w:val="20"/>
        </w:rPr>
        <w:t>2)(ii) and (f) and as defined in §63.90, and alternative analytical methods requested under §63.7521(b)(2).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Approval of major change to monitoring under §63.8(f) and as defined in §63.90, and approval of alternative operating parameters under §63.7500(a</w:t>
      </w:r>
      <w:proofErr w:type="gramStart"/>
      <w:r w:rsidRPr="00001714">
        <w:rPr>
          <w:rFonts w:ascii="Arial" w:hAnsi="Arial" w:cs="Arial"/>
          <w:sz w:val="20"/>
        </w:rPr>
        <w:t>)(</w:t>
      </w:r>
      <w:proofErr w:type="gramEnd"/>
      <w:r w:rsidRPr="00001714">
        <w:rPr>
          <w:rFonts w:ascii="Arial" w:hAnsi="Arial" w:cs="Arial"/>
          <w:sz w:val="20"/>
        </w:rPr>
        <w:t>2) and §63.7522(g)(2).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Approval of major change to recordkeeping and reporting under §63.10(e) and as defined in §63.90.</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7186, Jan. 31, 2013]</w:t>
      </w:r>
    </w:p>
    <w:p w:rsidR="00F0171B" w:rsidRPr="00001714" w:rsidRDefault="0036167B" w:rsidP="00F0171B">
      <w:pPr>
        <w:spacing w:before="200" w:after="100" w:afterAutospacing="1"/>
        <w:rPr>
          <w:rFonts w:ascii="Arial" w:hAnsi="Arial" w:cs="Arial"/>
          <w:sz w:val="20"/>
        </w:rPr>
      </w:pPr>
      <w:hyperlink r:id="rId172" w:anchor="_top" w:history="1">
        <w:r w:rsidR="00F0171B" w:rsidRPr="00001714">
          <w:rPr>
            <w:rFonts w:ascii="Arial" w:hAnsi="Arial" w:cs="Arial"/>
            <w:noProof/>
            <w:color w:val="0000FF"/>
            <w:sz w:val="20"/>
          </w:rPr>
          <w:drawing>
            <wp:inline distT="0" distB="0" distL="0" distR="0">
              <wp:extent cx="152400" cy="152400"/>
              <wp:effectExtent l="0" t="0" r="0" b="0"/>
              <wp:docPr id="57" name="Picture 5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5" w:name="40:14.0.1.1.1.5.143.27"/>
      <w:bookmarkEnd w:id="35"/>
      <w:r w:rsidRPr="00001714">
        <w:rPr>
          <w:rFonts w:ascii="Arial" w:hAnsi="Arial" w:cs="Arial"/>
          <w:b/>
          <w:bCs/>
          <w:sz w:val="20"/>
        </w:rPr>
        <w:t xml:space="preserve">§63.7575 </w:t>
      </w:r>
      <w:proofErr w:type="gramStart"/>
      <w:r w:rsidRPr="00001714">
        <w:rPr>
          <w:rFonts w:ascii="Arial" w:hAnsi="Arial" w:cs="Arial"/>
          <w:b/>
          <w:bCs/>
          <w:sz w:val="20"/>
        </w:rPr>
        <w:t>What</w:t>
      </w:r>
      <w:proofErr w:type="gramEnd"/>
      <w:r w:rsidRPr="00001714">
        <w:rPr>
          <w:rFonts w:ascii="Arial" w:hAnsi="Arial" w:cs="Arial"/>
          <w:b/>
          <w:bCs/>
          <w:sz w:val="20"/>
        </w:rPr>
        <w:t xml:space="preserve"> definitions apply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Terms used in this subpart are defined in the Clean Air Act, in §63.2 (the General Provisions), and in this section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10-day rolling average</w:t>
      </w:r>
      <w:r w:rsidRPr="00001714">
        <w:rPr>
          <w:rFonts w:ascii="Arial" w:hAnsi="Arial" w:cs="Arial"/>
          <w:sz w:val="20"/>
        </w:rPr>
        <w:t xml:space="preserve"> means the arithmetic mean of the previous 240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w:t>
      </w:r>
      <w:r w:rsidRPr="00001714">
        <w:rPr>
          <w:rFonts w:ascii="Arial" w:hAnsi="Arial" w:cs="Arial"/>
          <w:sz w:val="20"/>
        </w:rPr>
        <w:lastRenderedPageBreak/>
        <w:t>control activities, and periods when this unit is not operating. The 240 hours should be consecutive, but not necessarily continuous if operations were intermittent.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30-day rolling average</w:t>
      </w:r>
      <w:r w:rsidRPr="00001714">
        <w:rPr>
          <w:rFonts w:ascii="Arial" w:hAnsi="Arial" w:cs="Arial"/>
          <w:sz w:val="20"/>
        </w:rPr>
        <w:t xml:space="preserve"> means the arithmetic mean of the previous 720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720 hours should be consecutive, but not necessarily continuous if operations were intermittent.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Affirmative defense</w:t>
      </w:r>
      <w:r w:rsidRPr="00001714">
        <w:rPr>
          <w:rFonts w:ascii="Arial" w:hAnsi="Arial" w:cs="Arial"/>
          <w:sz w:val="20"/>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Annual capacity factor</w:t>
      </w:r>
      <w:r w:rsidRPr="00001714">
        <w:rPr>
          <w:rFonts w:ascii="Arial" w:hAnsi="Arial" w:cs="Arial"/>
          <w:sz w:val="20"/>
        </w:rPr>
        <w:t xml:space="preserve"> means the ratio between the actual heat input to a boiler or process heater from the fuels burned during a calendar year and the potential heat input to the boiler or process heater had it been operated for 8,760 hours during a year at the maximum steady state design heat input capacity.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Annual heat input</w:t>
      </w:r>
      <w:r w:rsidRPr="00001714">
        <w:rPr>
          <w:rFonts w:ascii="Arial" w:hAnsi="Arial" w:cs="Arial"/>
          <w:sz w:val="20"/>
        </w:rPr>
        <w:t xml:space="preserve"> means the heat input for the 12 months preceding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Average annual heat input rate</w:t>
      </w:r>
      <w:r w:rsidRPr="00001714">
        <w:rPr>
          <w:rFonts w:ascii="Arial" w:hAnsi="Arial" w:cs="Arial"/>
          <w:sz w:val="20"/>
        </w:rPr>
        <w:t xml:space="preserve"> means total heat input divided by the hours of operation for the 12 months preceding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Bag leak detection system</w:t>
      </w:r>
      <w:r w:rsidRPr="00001714">
        <w:rPr>
          <w:rFonts w:ascii="Arial" w:hAnsi="Arial" w:cs="Arial"/>
          <w:sz w:val="20"/>
        </w:rPr>
        <w:t xml:space="preserve"> means a group of instruments that are capable of monitoring particulate matter loadings in the exhaust of a fabric filter (</w:t>
      </w:r>
      <w:r w:rsidRPr="00001714">
        <w:rPr>
          <w:rFonts w:ascii="Arial" w:hAnsi="Arial" w:cs="Arial"/>
          <w:i/>
          <w:iCs/>
          <w:sz w:val="20"/>
        </w:rPr>
        <w:t>i.e.,</w:t>
      </w:r>
      <w:r w:rsidRPr="00001714">
        <w:rPr>
          <w:rFonts w:ascii="Arial" w:hAnsi="Arial" w:cs="Arial"/>
          <w:sz w:val="20"/>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Benchmark</w:t>
      </w:r>
      <w:r w:rsidRPr="00001714">
        <w:rPr>
          <w:rFonts w:ascii="Arial" w:hAnsi="Arial" w:cs="Arial"/>
          <w:sz w:val="20"/>
        </w:rPr>
        <w:t xml:space="preserve"> means the fuel heat input for a boiler or process heater for the one-year period before the date that an energy demand reduction occurs, unless it can be demonstrated that a different time period is more representative of historical operations.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Biodiesel</w:t>
      </w:r>
      <w:r w:rsidRPr="00001714">
        <w:rPr>
          <w:rFonts w:ascii="Arial" w:hAnsi="Arial" w:cs="Arial"/>
          <w:sz w:val="20"/>
        </w:rPr>
        <w:t xml:space="preserve"> means a mono-alkyl ester derived from biomass and conforming to ASTM D6751-11b, Standard Specification for Biodiesel Fuel Blend Stock (B100) for Middle Distillate Fuels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Biomass or bio-based solid fuel</w:t>
      </w:r>
      <w:r w:rsidRPr="00001714">
        <w:rPr>
          <w:rFonts w:ascii="Arial" w:hAnsi="Arial" w:cs="Arial"/>
          <w:sz w:val="20"/>
        </w:rPr>
        <w:t xml:space="preserve"> means any biomass-based solid fuel that is not a solid waste. This includes, but is not limited to, wood residue; wood products (</w:t>
      </w:r>
      <w:r w:rsidRPr="00001714">
        <w:rPr>
          <w:rFonts w:ascii="Arial" w:hAnsi="Arial" w:cs="Arial"/>
          <w:i/>
          <w:iCs/>
          <w:sz w:val="20"/>
        </w:rPr>
        <w:t>e.g.,</w:t>
      </w:r>
      <w:r w:rsidRPr="00001714">
        <w:rPr>
          <w:rFonts w:ascii="Arial" w:hAnsi="Arial" w:cs="Arial"/>
          <w:sz w:val="20"/>
        </w:rPr>
        <w:t xml:space="preserve">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001714">
        <w:rPr>
          <w:rFonts w:ascii="Arial" w:hAnsi="Arial" w:cs="Arial"/>
          <w:i/>
          <w:iCs/>
          <w:sz w:val="20"/>
        </w:rPr>
        <w:t>e.g.,</w:t>
      </w:r>
      <w:r w:rsidRPr="00001714">
        <w:rPr>
          <w:rFonts w:ascii="Arial" w:hAnsi="Arial" w:cs="Arial"/>
          <w:sz w:val="20"/>
        </w:rPr>
        <w:t xml:space="preserve"> almond, walnut, peanut, rice, and wheat), bagasse, orchard prunings, corn stalks, coffee bean hulls and grounds. This definition of biomass is not intended to suggest that these materials are or are not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Blast furnace gas fuel-fired boiler or process heater</w:t>
      </w:r>
      <w:r w:rsidRPr="00001714">
        <w:rPr>
          <w:rFonts w:ascii="Arial" w:hAnsi="Arial" w:cs="Arial"/>
          <w:sz w:val="20"/>
        </w:rPr>
        <w:t xml:space="preserve"> means an industrial/commercial/institutional boiler or process heater that receives 90 percent or more of its total annual gas volume from blast furnace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Boiler</w:t>
      </w:r>
      <w:r w:rsidRPr="00001714">
        <w:rPr>
          <w:rFonts w:ascii="Arial" w:hAnsi="Arial" w:cs="Arial"/>
          <w:sz w:val="20"/>
        </w:rPr>
        <w:t xml:space="preserve"> means an enclosed device using controlled flame combustion and having the primary purpose of recovering thermal energy in the form of steam 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Boiler system</w:t>
      </w:r>
      <w:r w:rsidRPr="00001714">
        <w:rPr>
          <w:rFonts w:ascii="Arial" w:hAnsi="Arial" w:cs="Arial"/>
          <w:sz w:val="20"/>
        </w:rPr>
        <w:t xml:space="preserve"> means the boiler and associated components, such as, the feed water system, the combustion air system, the fuel system (including burners), blowdown system, combustion control systems, steam systems, and condensate return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Calendar year</w:t>
      </w:r>
      <w:r w:rsidRPr="00001714">
        <w:rPr>
          <w:rFonts w:ascii="Arial" w:hAnsi="Arial" w:cs="Arial"/>
          <w:sz w:val="20"/>
        </w:rPr>
        <w:t xml:space="preserve"> means the period between January 1 and December 31, inclusive, for a given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Coal</w:t>
      </w:r>
      <w:r w:rsidRPr="00001714">
        <w:rPr>
          <w:rFonts w:ascii="Arial" w:hAnsi="Arial" w:cs="Arial"/>
          <w:sz w:val="20"/>
        </w:rPr>
        <w:t xml:space="preserve"> means all solid fuels classifiable as anthracite, bituminous, sub-bituminous, or lignite by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Coal refuse</w:t>
      </w:r>
      <w:r w:rsidRPr="00001714">
        <w:rPr>
          <w:rFonts w:ascii="Arial" w:hAnsi="Arial" w:cs="Arial"/>
          <w:sz w:val="20"/>
        </w:rPr>
        <w:t xml:space="preserve"> means any by-product of coal mining or coal cleaning operations with </w:t>
      </w:r>
      <w:proofErr w:type="gramStart"/>
      <w:r w:rsidRPr="00001714">
        <w:rPr>
          <w:rFonts w:ascii="Arial" w:hAnsi="Arial" w:cs="Arial"/>
          <w:sz w:val="20"/>
        </w:rPr>
        <w:t>an ash</w:t>
      </w:r>
      <w:proofErr w:type="gramEnd"/>
      <w:r w:rsidRPr="00001714">
        <w:rPr>
          <w:rFonts w:ascii="Arial" w:hAnsi="Arial" w:cs="Arial"/>
          <w:sz w:val="20"/>
        </w:rPr>
        <w:t xml:space="preserve"> content greater than 50 percent (by weight) and a heating value less than 13,900 kilojoules per kilogram (6,000 Btu per pound) on a dry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Commercial/institutional boiler</w:t>
      </w:r>
      <w:r w:rsidRPr="00001714">
        <w:rPr>
          <w:rFonts w:ascii="Arial" w:hAnsi="Arial" w:cs="Arial"/>
          <w:sz w:val="20"/>
        </w:rPr>
        <w:t xml:space="preserve"> means a boiler used in commercial establishments or institutional establishments such as medical centers, nursing homes, research centers, institutions of higher education, elementary and secondary schools, libraries, religious establishments, governmental buildings, hotels, restaurants, and laundries to provide electricity, steam, and/or hot water.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Common stack</w:t>
      </w:r>
      <w:r w:rsidRPr="00001714">
        <w:rPr>
          <w:rFonts w:ascii="Arial" w:hAnsi="Arial" w:cs="Arial"/>
          <w:sz w:val="20"/>
        </w:rPr>
        <w:t xml:space="preserve"> means the exhaust of emissions from two or more affected units through a single flue. Affected units with a common stack may each have separate air pollution control systems located before the common stack, or may have a single air pollution control system located after the exhausts come together in a single flue.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Cost-effective energy conservation measure</w:t>
      </w:r>
      <w:r w:rsidRPr="00001714">
        <w:rPr>
          <w:rFonts w:ascii="Arial" w:hAnsi="Arial" w:cs="Arial"/>
          <w:sz w:val="20"/>
        </w:rPr>
        <w:t xml:space="preserve"> means a measure that is implemented to improve the energy efficiency of the boiler or facility that has a payback (return of investment) period of 2 years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Daily block average</w:t>
      </w:r>
      <w:r w:rsidRPr="00001714">
        <w:rPr>
          <w:rFonts w:ascii="Arial" w:hAnsi="Arial" w:cs="Arial"/>
          <w:sz w:val="20"/>
        </w:rPr>
        <w:t xml:space="preserve"> means the arithmetic mean of all valid emission concentrations or parameter levels recorded when a unit is operating measured over the 24-hour period from 12 a.m. (midnight) to 12 a.m. (midnight), except for periods of startup and shutdown or downtime.</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i/>
          <w:iCs/>
          <w:sz w:val="20"/>
        </w:rPr>
        <w:t>Deviation.</w:t>
      </w:r>
      <w:proofErr w:type="gramEnd"/>
      <w:r w:rsidRPr="00001714">
        <w:rPr>
          <w:rFonts w:ascii="Arial" w:hAnsi="Arial" w:cs="Arial"/>
          <w:sz w:val="20"/>
        </w:rPr>
        <w:t xml:space="preserve"> (1) </w:t>
      </w:r>
      <w:r w:rsidRPr="00001714">
        <w:rPr>
          <w:rFonts w:ascii="Arial" w:hAnsi="Arial" w:cs="Arial"/>
          <w:i/>
          <w:iCs/>
          <w:sz w:val="20"/>
        </w:rPr>
        <w:t>Deviation</w:t>
      </w:r>
      <w:r w:rsidRPr="00001714">
        <w:rPr>
          <w:rFonts w:ascii="Arial" w:hAnsi="Arial" w:cs="Arial"/>
          <w:sz w:val="20"/>
        </w:rPr>
        <w:t xml:space="preserve"> means any instance in which an affected source subject to this subpart, or an owner or operator of such a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Fails to meet any applicable requirement or obligation established by this subpart including, but not limited to, any emission limit, operating limit, or work practice standard;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Fails to meet any term or condition that is adopted to implement an applicable requirement in this subpart and that is included in the operating permit for any affected source required to obtain such a permit.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 deviation is not always a violation.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Dioxins/furans</w:t>
      </w:r>
      <w:r w:rsidRPr="00001714">
        <w:rPr>
          <w:rFonts w:ascii="Arial" w:hAnsi="Arial" w:cs="Arial"/>
          <w:sz w:val="20"/>
        </w:rPr>
        <w:t xml:space="preserve"> </w:t>
      </w:r>
      <w:proofErr w:type="gramStart"/>
      <w:r w:rsidRPr="00001714">
        <w:rPr>
          <w:rFonts w:ascii="Arial" w:hAnsi="Arial" w:cs="Arial"/>
          <w:sz w:val="20"/>
        </w:rPr>
        <w:t>means</w:t>
      </w:r>
      <w:proofErr w:type="gramEnd"/>
      <w:r w:rsidRPr="00001714">
        <w:rPr>
          <w:rFonts w:ascii="Arial" w:hAnsi="Arial" w:cs="Arial"/>
          <w:sz w:val="20"/>
        </w:rPr>
        <w:t xml:space="preserve"> tetra- through octa-chlorinated dibenzo-p-dioxins and dibenzofurans.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Distillate oil</w:t>
      </w:r>
      <w:r w:rsidRPr="00001714">
        <w:rPr>
          <w:rFonts w:ascii="Arial" w:hAnsi="Arial" w:cs="Arial"/>
          <w:sz w:val="20"/>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§60.14).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Dry scrubber</w:t>
      </w:r>
      <w:r w:rsidRPr="00001714">
        <w:rPr>
          <w:rFonts w:ascii="Arial" w:hAnsi="Arial" w:cs="Arial"/>
          <w:sz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Dutch oven</w:t>
      </w:r>
      <w:r w:rsidRPr="00001714">
        <w:rPr>
          <w:rFonts w:ascii="Arial" w:hAnsi="Arial" w:cs="Arial"/>
          <w:sz w:val="20"/>
        </w:rPr>
        <w:t xml:space="preserve"> means a unit having a refractory-walled cell connected to a conventional boiler setting. Fuel materials are introduced through an opening in the roof of the </w:t>
      </w:r>
      <w:proofErr w:type="gramStart"/>
      <w:r w:rsidRPr="00001714">
        <w:rPr>
          <w:rFonts w:ascii="Arial" w:hAnsi="Arial" w:cs="Arial"/>
          <w:sz w:val="20"/>
        </w:rPr>
        <w:t>dutch</w:t>
      </w:r>
      <w:proofErr w:type="gramEnd"/>
      <w:r w:rsidRPr="00001714">
        <w:rPr>
          <w:rFonts w:ascii="Arial" w:hAnsi="Arial" w:cs="Arial"/>
          <w:sz w:val="20"/>
        </w:rPr>
        <w:t xml:space="preserve"> oven and burn in a pile on its floor. Fluidized bed boilers are not part of the </w:t>
      </w:r>
      <w:proofErr w:type="gramStart"/>
      <w:r w:rsidRPr="00001714">
        <w:rPr>
          <w:rFonts w:ascii="Arial" w:hAnsi="Arial" w:cs="Arial"/>
          <w:sz w:val="20"/>
        </w:rPr>
        <w:t>dutch</w:t>
      </w:r>
      <w:proofErr w:type="gramEnd"/>
      <w:r w:rsidRPr="00001714">
        <w:rPr>
          <w:rFonts w:ascii="Arial" w:hAnsi="Arial" w:cs="Arial"/>
          <w:sz w:val="20"/>
        </w:rPr>
        <w:t xml:space="preserve"> oven design 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Efficiency credit</w:t>
      </w:r>
      <w:r w:rsidRPr="00001714">
        <w:rPr>
          <w:rFonts w:ascii="Arial" w:hAnsi="Arial" w:cs="Arial"/>
          <w:sz w:val="20"/>
        </w:rPr>
        <w:t xml:space="preserve"> means emission reductions above those required by this subpart. Efficiency credits generated may be used to comply with the emissions limits. Credits may come from pollution prevention projects that result in reduced fuel use by affected units. Boilers that are shut down cannot be used to generate credits unless the facility provides documentation linking the permanent shutdown to implementation of the energy conservation measures identified in the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Electric utility steam generating unit (EGU)</w:t>
      </w:r>
      <w:r w:rsidRPr="00001714">
        <w:rPr>
          <w:rFonts w:ascii="Arial" w:hAnsi="Arial" w:cs="Arial"/>
          <w:sz w:val="20"/>
        </w:rPr>
        <w:t xml:space="preserve"> means a fossil fuel-fired combustion unit of more than 25 megawatts electric (MWe) that serves a generator that produces electricity for sale. A fossil fuel-fired unit that cogenerates steam and electricity and supplies more than one-third of its potential electric output capacity and more than 25 MWe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(e.g.,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Electrostatic precipitator (ESP)</w:t>
      </w:r>
      <w:r w:rsidRPr="00001714">
        <w:rPr>
          <w:rFonts w:ascii="Arial" w:hAnsi="Arial" w:cs="Arial"/>
          <w:sz w:val="20"/>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assessment</w:t>
      </w:r>
      <w:r w:rsidRPr="00001714">
        <w:rPr>
          <w:rFonts w:ascii="Arial" w:hAnsi="Arial" w:cs="Arial"/>
          <w:sz w:val="20"/>
        </w:rPr>
        <w:t xml:space="preserve"> means the following for the emission units covered by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energy assessment for facilities with affected boilers and process heaters with a combined heat input capacity of less than 0.3 trillion Btu (TBtu) per year will be 8 on-site technical labor hours in length maximum, but may be longer at the discretion of the owner or operator of the affected source. The boiler system(s) and any on-site energy use system(s) accounting for at least 50 percent of the affected boiler(s) energy (e.g., steam, hot water, process heat, or electricity) production, as applicable, will be evaluated to identify energy savings opportunities, within the limit of performing an 8-hour on-site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energy assessment for facilities with affected boilers and process heaters with a combined heat input capacity of 0.3 to 1.0 TBtu/year will be 24 on-site technical labor hours in length maximum, but may be longer at the discretion of the owner or operator of the affected source. The boiler system(s) and any on-site energy use system(s) accounting for at least 33 percent of the energy (e.g., steam, hot water, process heat, or electricity) production, as applicable, will be evaluated to identify energy savings opportunities, within the limit of performing a 24-hour on-site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energy assessment for facilities with affected boilers and process heaters with a combined heat input capacity greater than 1.0 TBtu/year will be up to 24 on-site technical labor hours in length for the first TBtu/yr plus 8 on-site technical labor hours for every additional 1.0 TBtu/yr not to exceed 160 on-site technical hours, but may be longer at the discretion of the owner or operator of the affected source. The boiler system(s), process heater(s), and any on-site energy use system(s) accounting for at least 20 percent of the energy (e.g., steam, process heat, hot water, or electricity) production, as applicable, will be evaluated to identify energy savings opportunities.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(4) The on-site energy use systems serving as the basis for the percent of affected boiler(s) and process heater(s) energy production in paragraphs (1), (2), and (3) of this definition may be segmented by production area or energy use area as most logical and applicable to the specific facility being assessed (e.g., product X manufacturing area; product Y drying area; Building Z).</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management practices</w:t>
      </w:r>
      <w:r w:rsidRPr="00001714">
        <w:rPr>
          <w:rFonts w:ascii="Arial" w:hAnsi="Arial" w:cs="Arial"/>
          <w:sz w:val="20"/>
        </w:rPr>
        <w:t xml:space="preserve"> means the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management program</w:t>
      </w:r>
      <w:r w:rsidRPr="00001714">
        <w:rPr>
          <w:rFonts w:ascii="Arial" w:hAnsi="Arial" w:cs="Arial"/>
          <w:sz w:val="20"/>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use system</w:t>
      </w:r>
      <w:r w:rsidRPr="00001714">
        <w:rPr>
          <w:rFonts w:ascii="Arial" w:hAnsi="Arial" w:cs="Arial"/>
          <w:sz w:val="20"/>
        </w:rPr>
        <w:t xml:space="preserve"> includes the following systems located on-site that use energy (steam, hot water, or electricity) provided by the affected boiler or process heater: process heating; compressed air systems; machine drive (motors, pumps, fans); process cooling; facility heating, ventilation, and air-conditioning systems; hot water systems; building envelop; and lighting; or other systems that use steam, hot water, process heat, or electricity provided by the affected boiler or process heater. Energy use systems are only those systems using energy clearly produced by affected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Equivalent</w:t>
      </w:r>
      <w:r w:rsidRPr="00001714">
        <w:rPr>
          <w:rFonts w:ascii="Arial" w:hAnsi="Arial" w:cs="Arial"/>
          <w:sz w:val="20"/>
        </w:rPr>
        <w:t xml:space="preserve"> means the following only as this term is used in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An equivalent sample collection procedure means a published voluntary consensus standard or practice (VCS) or EPA method that includes collection of a minimum of three composite fuel samples, with each composite consisting of a minimum of three increments collected at approximately equal intervals over the test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An equivalent sample compositing procedure means a published VCS or EPA method to systematically mix and obtain a representative subsample (part) of the composite sample.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An equivalent procedure for determining heat content means a published VCS or EPA method to obtain gross calorific (or higher heating) value.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An equivalent procedure for determining fuel moisture content means a published VCS or EPA method to obtain moisture content. If the sample analysis plan calls for determining metals (especially the mercury, selenium, or arsenic) using an aliquot of the dried sample, then the drying temperature must be modified to prevent vaporizing these metals. On the other hand, if metals analysis is done on an “as received” basis, a separate aliquot can be dried to determine moisture content and the metals concentration mathematically adjusted to a dry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An equivalent pollutant (mercury, HCl) determinative or analytical procedure means a published VCS or EPA method that clearly states that the standard, practice, or method is appropriate for the pollutant and the fuel matrix and has a published detection limit equal or lower than the methods listed in Table 6 to this subpart for the same purpose.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Fabric filter</w:t>
      </w:r>
      <w:r w:rsidRPr="00001714">
        <w:rPr>
          <w:rFonts w:ascii="Arial" w:hAnsi="Arial" w:cs="Arial"/>
          <w:sz w:val="20"/>
        </w:rPr>
        <w:t xml:space="preserve"> means an add-on air pollution control device used to capture particulate matter by filtering gas streams through filter media, also known as a baghouse. A fabric filter is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Federally enforceable</w:t>
      </w:r>
      <w:r w:rsidRPr="00001714">
        <w:rPr>
          <w:rFonts w:ascii="Arial" w:hAnsi="Arial" w:cs="Arial"/>
          <w:sz w:val="20"/>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boiler</w:t>
      </w:r>
      <w:r w:rsidRPr="00001714">
        <w:rPr>
          <w:rFonts w:ascii="Arial" w:hAnsi="Arial" w:cs="Arial"/>
          <w:sz w:val="20"/>
        </w:rPr>
        <w:t xml:space="preserve"> means a boiler utilizing a fluidized bed combustion process that is not a pulverized coal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boiler with an integrated fluidized bed heat exchanger</w:t>
      </w:r>
      <w:r w:rsidRPr="00001714">
        <w:rPr>
          <w:rFonts w:ascii="Arial" w:hAnsi="Arial" w:cs="Arial"/>
          <w:sz w:val="20"/>
        </w:rPr>
        <w:t xml:space="preserve"> means a boiler utilizing a fluidized bed combustion where the entire tube surface area is located outside of the furnace section at the exit of the cyclone section and exposed to the flue gas stream for conductive heat transfer. This design applies only to boilers in the unit designed to burn coal/solid fossil fuel subcategory that fire </w:t>
      </w:r>
      <w:proofErr w:type="gramStart"/>
      <w:r w:rsidRPr="00001714">
        <w:rPr>
          <w:rFonts w:ascii="Arial" w:hAnsi="Arial" w:cs="Arial"/>
          <w:sz w:val="20"/>
        </w:rPr>
        <w:t>coal refuse</w:t>
      </w:r>
      <w:proofErr w:type="gramEnd"/>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combustion</w:t>
      </w:r>
      <w:r w:rsidRPr="00001714">
        <w:rPr>
          <w:rFonts w:ascii="Arial" w:hAnsi="Arial" w:cs="Arial"/>
          <w:sz w:val="20"/>
        </w:rPr>
        <w:t xml:space="preserve"> means a process where a fuel is burned in a bed of granulated particles, which are maintained in a mobile suspension by the forward flow of air and combustion products.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Fuel cell</w:t>
      </w:r>
      <w:r w:rsidRPr="00001714">
        <w:rPr>
          <w:rFonts w:ascii="Arial" w:hAnsi="Arial" w:cs="Arial"/>
          <w:sz w:val="20"/>
        </w:rPr>
        <w:t xml:space="preserve"> means a boiler type in which the fuel is dropped onto suspended fixed grates and is fired in a pile. The refractory-lined fuel cell uses combustion air preheating and positioning of secondary and tertiary air injection ports to improve boiler efficiency. Fluidized bed, </w:t>
      </w:r>
      <w:proofErr w:type="gramStart"/>
      <w:r w:rsidRPr="00001714">
        <w:rPr>
          <w:rFonts w:ascii="Arial" w:hAnsi="Arial" w:cs="Arial"/>
          <w:sz w:val="20"/>
        </w:rPr>
        <w:t>dutch</w:t>
      </w:r>
      <w:proofErr w:type="gramEnd"/>
      <w:r w:rsidRPr="00001714">
        <w:rPr>
          <w:rFonts w:ascii="Arial" w:hAnsi="Arial" w:cs="Arial"/>
          <w:sz w:val="20"/>
        </w:rPr>
        <w:t xml:space="preserve"> oven, pile burner, hybrid suspension grate, and suspension burners are not part of the fuel cell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Fuel type</w:t>
      </w:r>
      <w:r w:rsidRPr="00001714">
        <w:rPr>
          <w:rFonts w:ascii="Arial" w:hAnsi="Arial" w:cs="Arial"/>
          <w:sz w:val="20"/>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Gaseous fuel</w:t>
      </w:r>
      <w:r w:rsidRPr="00001714">
        <w:rPr>
          <w:rFonts w:ascii="Arial" w:hAnsi="Arial" w:cs="Arial"/>
          <w:sz w:val="20"/>
        </w:rPr>
        <w:t xml:space="preserve"> includes, but is not limited to, natural gas, process gas, landfill gas, coal derived gas, refinery gas, and biogas. Blast furnace gas and process gases that are regulated under another subpart of this part, or part 60, part 61, or part 65 of this chapter, are exempted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Heat input</w:t>
      </w:r>
      <w:r w:rsidRPr="00001714">
        <w:rPr>
          <w:rFonts w:ascii="Arial" w:hAnsi="Arial" w:cs="Arial"/>
          <w:sz w:val="20"/>
        </w:rPr>
        <w:t xml:space="preserve"> means heat derived from combustion of fuel in a boiler or process heater and does not include the heat input from preheated combustion air, recirculated flue gases, returned condensate, or exhaust gases from other sources such as gas turbines, internal combustion engines, kilns, etc.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Heavy liquid</w:t>
      </w:r>
      <w:r w:rsidRPr="00001714">
        <w:rPr>
          <w:rFonts w:ascii="Arial" w:hAnsi="Arial" w:cs="Arial"/>
          <w:sz w:val="20"/>
        </w:rPr>
        <w:t xml:space="preserve"> includes residual oil and any other liquid fuel not classified as a light liquid.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Hourly average</w:t>
      </w:r>
      <w:r w:rsidRPr="00001714">
        <w:rPr>
          <w:rFonts w:ascii="Arial" w:hAnsi="Arial" w:cs="Arial"/>
          <w:sz w:val="20"/>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Hot water heater</w:t>
      </w:r>
      <w:r w:rsidRPr="00001714">
        <w:rPr>
          <w:rFonts w:ascii="Arial" w:hAnsi="Arial" w:cs="Arial"/>
          <w:sz w:val="20"/>
        </w:rPr>
        <w:t xml:space="preserve"> means a closed vessel with a capacity of no more than 120 U.S. gallons in which water is heated by combustion of gaseous, liquid, or biomass/bio-based solid fuel and is withdrawn for use external to the vessel. </w:t>
      </w:r>
      <w:proofErr w:type="gramStart"/>
      <w:r w:rsidRPr="00001714">
        <w:rPr>
          <w:rFonts w:ascii="Arial" w:hAnsi="Arial" w:cs="Arial"/>
          <w:sz w:val="20"/>
        </w:rPr>
        <w:t>Hot water boilers (i.e., not generating steam) combusting gaseous, liquid, or biomass fuel with a heat input capacity of less than 1.6 million Btu per hour are included in this definition.</w:t>
      </w:r>
      <w:proofErr w:type="gramEnd"/>
      <w:r w:rsidRPr="00001714">
        <w:rPr>
          <w:rFonts w:ascii="Arial" w:hAnsi="Arial" w:cs="Arial"/>
          <w:sz w:val="20"/>
        </w:rPr>
        <w:t xml:space="preserve"> The 120 U.S. gallon capacity </w:t>
      </w:r>
      <w:proofErr w:type="gramStart"/>
      <w:r w:rsidRPr="00001714">
        <w:rPr>
          <w:rFonts w:ascii="Arial" w:hAnsi="Arial" w:cs="Arial"/>
          <w:sz w:val="20"/>
        </w:rPr>
        <w:t>threshold</w:t>
      </w:r>
      <w:proofErr w:type="gramEnd"/>
      <w:r w:rsidRPr="00001714">
        <w:rPr>
          <w:rFonts w:ascii="Arial" w:hAnsi="Arial" w:cs="Arial"/>
          <w:sz w:val="20"/>
        </w:rPr>
        <w:t xml:space="preserve"> to be considered a hot water heater is independent of the 1.6 MMBtu/hr heat input capacity threshold for hot water boilers. Hot water heater also means a tankless unit that provides on demand hot water.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Hybrid suspension grate boiler</w:t>
      </w:r>
      <w:r w:rsidRPr="00001714">
        <w:rPr>
          <w:rFonts w:ascii="Arial" w:hAnsi="Arial" w:cs="Arial"/>
          <w:sz w:val="20"/>
        </w:rPr>
        <w:t xml:space="preserve"> means a boiler designed with air distributors to spread the fuel material over the entire width and depth of the boiler combustion zone. The biomass fuel combusted in these units exceeds </w:t>
      </w:r>
      <w:proofErr w:type="gramStart"/>
      <w:r w:rsidRPr="00001714">
        <w:rPr>
          <w:rFonts w:ascii="Arial" w:hAnsi="Arial" w:cs="Arial"/>
          <w:sz w:val="20"/>
        </w:rPr>
        <w:t>a moisture</w:t>
      </w:r>
      <w:proofErr w:type="gramEnd"/>
      <w:r w:rsidRPr="00001714">
        <w:rPr>
          <w:rFonts w:ascii="Arial" w:hAnsi="Arial" w:cs="Arial"/>
          <w:sz w:val="20"/>
        </w:rPr>
        <w:t xml:space="preserve"> content of 40 percent on an as-fired annual heat input basis. The drying and much of the combustion of the fuel takes place in suspension, and the combustion is completed on the grate or floor of the boiler. Fluidized bed, </w:t>
      </w:r>
      <w:proofErr w:type="gramStart"/>
      <w:r w:rsidRPr="00001714">
        <w:rPr>
          <w:rFonts w:ascii="Arial" w:hAnsi="Arial" w:cs="Arial"/>
          <w:sz w:val="20"/>
        </w:rPr>
        <w:t>dutch</w:t>
      </w:r>
      <w:proofErr w:type="gramEnd"/>
      <w:r w:rsidRPr="00001714">
        <w:rPr>
          <w:rFonts w:ascii="Arial" w:hAnsi="Arial" w:cs="Arial"/>
          <w:sz w:val="20"/>
        </w:rPr>
        <w:t xml:space="preserve"> oven, and pile burner designs are not part of the hybrid suspension grate boiler design 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Industrial boiler</w:t>
      </w:r>
      <w:r w:rsidRPr="00001714">
        <w:rPr>
          <w:rFonts w:ascii="Arial" w:hAnsi="Arial" w:cs="Arial"/>
          <w:sz w:val="20"/>
        </w:rPr>
        <w:t xml:space="preserve"> means a boiler used in manufacturing, processing, mining, and refining or any other industry to provide steam, hot water, and/or electricity.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Light liquid</w:t>
      </w:r>
      <w:r w:rsidRPr="00001714">
        <w:rPr>
          <w:rFonts w:ascii="Arial" w:hAnsi="Arial" w:cs="Arial"/>
          <w:sz w:val="20"/>
        </w:rPr>
        <w:t xml:space="preserve"> includes distillate oil, biodiesel, or vegetable oil.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Limited-use boiler or process heater</w:t>
      </w:r>
      <w:r w:rsidRPr="00001714">
        <w:rPr>
          <w:rFonts w:ascii="Arial" w:hAnsi="Arial" w:cs="Arial"/>
          <w:sz w:val="20"/>
        </w:rPr>
        <w:t xml:space="preserve"> means any boiler or process heater that burns any amount of solid, liquid, or gaseous fuels and has a federally enforceable average annual capacity factor of no more than 10 percent.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Liquid fuel</w:t>
      </w:r>
      <w:r w:rsidRPr="00001714">
        <w:rPr>
          <w:rFonts w:ascii="Arial" w:hAnsi="Arial" w:cs="Arial"/>
          <w:sz w:val="20"/>
        </w:rPr>
        <w:t xml:space="preserve"> includes, but is not limited to, light liquid, heavy liquid, any form of liquid fuel derived from petroleum, used oil, liquid biofuels, biodiesel, vegetable oil, and comparable fuels as defined under 40 CFR 261.38.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Load fraction</w:t>
      </w:r>
      <w:r w:rsidRPr="00001714">
        <w:rPr>
          <w:rFonts w:ascii="Arial" w:hAnsi="Arial" w:cs="Arial"/>
          <w:sz w:val="20"/>
        </w:rPr>
        <w:t xml:space="preserve"> means the actual heat input of a boiler or process heater divided by heat input during the performance test that established the minimum sorbent injection rate or minimum activated carbon injection rate, expressed as a fraction (e.g., for 50 percent load the load fraction is 0.5).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Major source for oil and natural gas production facilities,</w:t>
      </w:r>
      <w:r w:rsidRPr="00001714">
        <w:rPr>
          <w:rFonts w:ascii="Arial" w:hAnsi="Arial" w:cs="Arial"/>
          <w:sz w:val="20"/>
        </w:rPr>
        <w:t xml:space="preserve"> as used in this subpart, shall have the same meaning as in §63.2, except that: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Emissions from processes, operations, or equipment that are not part of the same facility, as defined in this section, shall not be aggregated;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facilities that are production field facilities, only HAP emissions from glycol dehydration units and storage vessels with the potential for flash emissions shall be aggregated for a major source determination. For facilities that are not production field facilities, HAP emissions from all HAP emission units shall be aggregated for a major source determination.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Metal process furnaces</w:t>
      </w:r>
      <w:r w:rsidRPr="00001714">
        <w:rPr>
          <w:rFonts w:ascii="Arial" w:hAnsi="Arial" w:cs="Arial"/>
          <w:sz w:val="20"/>
        </w:rPr>
        <w:t xml:space="preserve"> are a subcategory of process heaters, as defined in this subpart, which include natural gas-fired annealing furnaces, preheat furnaces, </w:t>
      </w:r>
      <w:proofErr w:type="gramStart"/>
      <w:r w:rsidRPr="00001714">
        <w:rPr>
          <w:rFonts w:ascii="Arial" w:hAnsi="Arial" w:cs="Arial"/>
          <w:sz w:val="20"/>
        </w:rPr>
        <w:t>reheat</w:t>
      </w:r>
      <w:proofErr w:type="gramEnd"/>
      <w:r w:rsidRPr="00001714">
        <w:rPr>
          <w:rFonts w:ascii="Arial" w:hAnsi="Arial" w:cs="Arial"/>
          <w:sz w:val="20"/>
        </w:rPr>
        <w:t xml:space="preserve"> furnaces, aging furnaces, heat treat furnaces, and homogenizing furnaces.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Million Btu (MMBtu)</w:t>
      </w:r>
      <w:r w:rsidRPr="00001714">
        <w:rPr>
          <w:rFonts w:ascii="Arial" w:hAnsi="Arial" w:cs="Arial"/>
          <w:sz w:val="20"/>
        </w:rPr>
        <w:t xml:space="preserve"> means one million British thermal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activated carbon injection rate</w:t>
      </w:r>
      <w:r w:rsidRPr="00001714">
        <w:rPr>
          <w:rFonts w:ascii="Arial" w:hAnsi="Arial" w:cs="Arial"/>
          <w:sz w:val="20"/>
        </w:rPr>
        <w:t xml:space="preserve"> means load fraction multiplied by the lowest hourly average activated carbon injection rate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oxygen level</w:t>
      </w:r>
      <w:r w:rsidRPr="00001714">
        <w:rPr>
          <w:rFonts w:ascii="Arial" w:hAnsi="Arial" w:cs="Arial"/>
          <w:sz w:val="20"/>
        </w:rPr>
        <w:t xml:space="preserve"> means the lowest hourly average oxygen level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pressure drop</w:t>
      </w:r>
      <w:r w:rsidRPr="00001714">
        <w:rPr>
          <w:rFonts w:ascii="Arial" w:hAnsi="Arial" w:cs="Arial"/>
          <w:sz w:val="20"/>
        </w:rPr>
        <w:t xml:space="preserve"> means the lowest hourly average pressure drop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scrubber effluent pH</w:t>
      </w:r>
      <w:r w:rsidRPr="00001714">
        <w:rPr>
          <w:rFonts w:ascii="Arial" w:hAnsi="Arial" w:cs="Arial"/>
          <w:sz w:val="20"/>
        </w:rPr>
        <w:t xml:space="preserve"> means the lowest hourly average sorbent liquid pH measured at the inlet to the wet scrubber according to Table 7 to this subpart during the most recent performance test demonstrating compliance with the applicable hydrogen chloride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Minimum scrubber liquid flow rate</w:t>
      </w:r>
      <w:r w:rsidRPr="00001714">
        <w:rPr>
          <w:rFonts w:ascii="Arial" w:hAnsi="Arial" w:cs="Arial"/>
          <w:sz w:val="20"/>
        </w:rPr>
        <w:t xml:space="preserve"> means the lowest hourly average liquid flow rate (e.g., to the PM scrubber or to the acid gas scrubber) measured according to Table 7 to this subpart during the most recent performance stack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scrubber pressure drop</w:t>
      </w:r>
      <w:r w:rsidRPr="00001714">
        <w:rPr>
          <w:rFonts w:ascii="Arial" w:hAnsi="Arial" w:cs="Arial"/>
          <w:sz w:val="20"/>
        </w:rPr>
        <w:t xml:space="preserve"> means the lowest hourly average scrubber pressure drop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sorbent injection rate</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load fraction multiplied by the lowest hourly average sorbent injection rate for each sorbent measured according to Table 7 to this subpart during the most recent performance test demonstrating compliance with the applicable emission limits;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fluidized bed combustion, the lowest average ratio of sorbent to sulfur measured during the most recent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total secondary electric power</w:t>
      </w:r>
      <w:r w:rsidRPr="00001714">
        <w:rPr>
          <w:rFonts w:ascii="Arial" w:hAnsi="Arial" w:cs="Arial"/>
          <w:sz w:val="20"/>
        </w:rPr>
        <w:t xml:space="preserve"> means the lowest hourly average total secondary electric power determined from the values of secondary voltage and secondary current to the electrostatic precipitator measured according to Table 7 to this subpart during the most recent performance test demonstrating compliance with the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Natural gas</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naturally occurring mixture of hydrocarbon and nonhydrocarbon gases found in geologic formations beneath the earth's surface, of which the principal constituent is methane;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Liquefied petroleum gas, as defined in ASTM D1835 (incorporated by reference, see §63.14);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 mixture of hydrocarbons that maintains a gaseous state at ISO conditions. Additionally, natural gas must either be composed of at least 70 percent methane by volume or have a gross calorific value between 35 and 41 megajoules (MJ) per dry standard cubic meter (950 and 1,100 Btu per dry standard cubic foot);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Propane or propane derived synthetic natural gas. Propane means a colorless gas derived from petroleum and natural gas, with the molecular structure C</w:t>
      </w:r>
      <w:r w:rsidRPr="00001714">
        <w:rPr>
          <w:rFonts w:ascii="Arial" w:hAnsi="Arial" w:cs="Arial"/>
          <w:sz w:val="20"/>
          <w:vertAlign w:val="subscript"/>
        </w:rPr>
        <w:t>3</w:t>
      </w:r>
      <w:r w:rsidRPr="00001714">
        <w:rPr>
          <w:rFonts w:ascii="Arial" w:hAnsi="Arial" w:cs="Arial"/>
          <w:sz w:val="20"/>
        </w:rPr>
        <w:t>H</w:t>
      </w:r>
      <w:r w:rsidRPr="00001714">
        <w:rPr>
          <w:rFonts w:ascii="Arial" w:hAnsi="Arial" w:cs="Arial"/>
          <w:sz w:val="20"/>
          <w:vertAlign w:val="subscript"/>
        </w:rPr>
        <w:t>8</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Opacity</w:t>
      </w:r>
      <w:r w:rsidRPr="00001714">
        <w:rPr>
          <w:rFonts w:ascii="Arial" w:hAnsi="Arial" w:cs="Arial"/>
          <w:sz w:val="20"/>
        </w:rPr>
        <w:t xml:space="preserve"> means the degree to which emissions reduce the transmission of light and obscure the view of an object in the background.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Operating day</w:t>
      </w:r>
      <w:r w:rsidRPr="00001714">
        <w:rPr>
          <w:rFonts w:ascii="Arial" w:hAnsi="Arial" w:cs="Arial"/>
          <w:sz w:val="20"/>
        </w:rPr>
        <w:t xml:space="preserve"> means a 24-hour period between 12 midnight and the following midnight during which any fuel is combusted at any time in the boiler or process heater unit. It is not necessary for fuel to be combusted for the entire 24-hour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Other combustor</w:t>
      </w:r>
      <w:r w:rsidRPr="00001714">
        <w:rPr>
          <w:rFonts w:ascii="Arial" w:hAnsi="Arial" w:cs="Arial"/>
          <w:sz w:val="20"/>
        </w:rPr>
        <w:t xml:space="preserve"> means a unit designed to burn solid fuel that is not classified as a dutch oven, fluidized bed, fuel cell, hybrid suspension grate boiler, pulverized coal boiler, stoker, sloped grate, or suspension boiler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Other gas 1 fuel</w:t>
      </w:r>
      <w:r w:rsidRPr="00001714">
        <w:rPr>
          <w:rFonts w:ascii="Arial" w:hAnsi="Arial" w:cs="Arial"/>
          <w:sz w:val="20"/>
        </w:rPr>
        <w:t xml:space="preserve"> means a gaseous fuel that is not natural gas or refinery gas and does not exceed a maximum concentration of 40 micrograms/cubic meters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Oxygen analyzer system</w:t>
      </w:r>
      <w:r w:rsidRPr="00001714">
        <w:rPr>
          <w:rFonts w:ascii="Arial" w:hAnsi="Arial" w:cs="Arial"/>
          <w:sz w:val="20"/>
        </w:rPr>
        <w:t xml:space="preserve"> means all equipment required to determine the oxygen content of a gas stream and used to monitor oxygen in the boiler or process heater flue gas, boiler or process heater, firebox, or other </w:t>
      </w:r>
      <w:r w:rsidRPr="00001714">
        <w:rPr>
          <w:rFonts w:ascii="Arial" w:hAnsi="Arial" w:cs="Arial"/>
          <w:sz w:val="20"/>
        </w:rPr>
        <w:lastRenderedPageBreak/>
        <w:t>appropriate location. This definition includes oxygen trim systems. The source owner or operator must install, calibrate, maintain, and operate the oxygen analyzer system in accordance with the manufacturer's recommendations.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Oxygen trim system</w:t>
      </w:r>
      <w:r w:rsidRPr="00001714">
        <w:rPr>
          <w:rFonts w:ascii="Arial" w:hAnsi="Arial" w:cs="Arial"/>
          <w:sz w:val="20"/>
        </w:rPr>
        <w:t xml:space="preserve"> means a system of monitors that is used to maintain excess air at the desired level in a combustion device. A typical system consists of </w:t>
      </w:r>
      <w:proofErr w:type="gramStart"/>
      <w:r w:rsidRPr="00001714">
        <w:rPr>
          <w:rFonts w:ascii="Arial" w:hAnsi="Arial" w:cs="Arial"/>
          <w:sz w:val="20"/>
        </w:rPr>
        <w:t>a flue</w:t>
      </w:r>
      <w:proofErr w:type="gramEnd"/>
      <w:r w:rsidRPr="00001714">
        <w:rPr>
          <w:rFonts w:ascii="Arial" w:hAnsi="Arial" w:cs="Arial"/>
          <w:sz w:val="20"/>
        </w:rPr>
        <w:t xml:space="preserve"> gas oxygen and/or CO monitor that automatically provides a feedback signal to the combustion air controller.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Particulate matter (PM)</w:t>
      </w:r>
      <w:r w:rsidRPr="00001714">
        <w:rPr>
          <w:rFonts w:ascii="Arial" w:hAnsi="Arial" w:cs="Arial"/>
          <w:sz w:val="20"/>
        </w:rPr>
        <w:t xml:space="preserve"> means any finely divided solid or liquid material, other than uncombined water, as measured by the test methods specified under this subpart, or an approved alternative method.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Period of gas curtailment or supply interruption</w:t>
      </w:r>
      <w:r w:rsidRPr="00001714">
        <w:rPr>
          <w:rFonts w:ascii="Arial" w:hAnsi="Arial" w:cs="Arial"/>
          <w:sz w:val="20"/>
        </w:rPr>
        <w:t xml:space="preserve"> means a period of time during which the supply of gaseous fuel to an affected boiler or process heater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Pile burner</w:t>
      </w:r>
      <w:r w:rsidRPr="00001714">
        <w:rPr>
          <w:rFonts w:ascii="Arial" w:hAnsi="Arial" w:cs="Arial"/>
          <w:sz w:val="20"/>
        </w:rPr>
        <w:t xml:space="preserve"> means a boiler design incorporating a design where the anticipated biomass fuel has </w:t>
      </w:r>
      <w:proofErr w:type="gramStart"/>
      <w:r w:rsidRPr="00001714">
        <w:rPr>
          <w:rFonts w:ascii="Arial" w:hAnsi="Arial" w:cs="Arial"/>
          <w:sz w:val="20"/>
        </w:rPr>
        <w:t>a high</w:t>
      </w:r>
      <w:proofErr w:type="gramEnd"/>
      <w:r w:rsidRPr="00001714">
        <w:rPr>
          <w:rFonts w:ascii="Arial" w:hAnsi="Arial" w:cs="Arial"/>
          <w:sz w:val="20"/>
        </w:rPr>
        <w:t xml:space="preserve"> relative moisture content. Grates serve to support the fuel, and underfire air flowing up through the grates provides oxygen for combustion, cools the grates, promotes turbulence in the fuel bed, and fires the fuel. The most common form of pile burning is the </w:t>
      </w:r>
      <w:proofErr w:type="gramStart"/>
      <w:r w:rsidRPr="00001714">
        <w:rPr>
          <w:rFonts w:ascii="Arial" w:hAnsi="Arial" w:cs="Arial"/>
          <w:sz w:val="20"/>
        </w:rPr>
        <w:t>dutch</w:t>
      </w:r>
      <w:proofErr w:type="gramEnd"/>
      <w:r w:rsidRPr="00001714">
        <w:rPr>
          <w:rFonts w:ascii="Arial" w:hAnsi="Arial" w:cs="Arial"/>
          <w:sz w:val="20"/>
        </w:rPr>
        <w:t xml:space="preserve"> oven.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Process heater</w:t>
      </w:r>
      <w:r w:rsidRPr="00001714">
        <w:rPr>
          <w:rFonts w:ascii="Arial" w:hAnsi="Arial" w:cs="Arial"/>
          <w:sz w:val="20"/>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A device combusting solid waste, as defined in §241.3 of this chapter, is not a process heater unless the device is exempt from the definition of a solid waste incineration unit as provided in section 129(g)(1) of the Clean Air Act. Process heaters do not include units used for comfort heat or space heat, food preparation for on-site consumption, or autoclaves. Waste heat process heaters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Pulverized coal boiler</w:t>
      </w:r>
      <w:r w:rsidRPr="00001714">
        <w:rPr>
          <w:rFonts w:ascii="Arial" w:hAnsi="Arial" w:cs="Arial"/>
          <w:sz w:val="20"/>
        </w:rPr>
        <w:t xml:space="preserve"> means a boiler in which pulverized coal or other solid fossil fuel is introduced into an air stream that carries the coal to the combustion chamber of the boiler where it is fired in suspension.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Qualified energy assessor</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Someone who has demonstrated capabilities to evaluate energy savings opportunities for steam generation and major energy using systems, including, but not limited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Boiler combustion management.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Boiler thermal energy recovery,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Conventional feed water economizer,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Conventional combustion air preheater,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Condensing economizer.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(iii) Boiler blowdown thermal energy recovery.</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Primary</w:t>
      </w:r>
      <w:proofErr w:type="gramEnd"/>
      <w:r w:rsidRPr="00001714">
        <w:rPr>
          <w:rFonts w:ascii="Arial" w:hAnsi="Arial" w:cs="Arial"/>
          <w:sz w:val="20"/>
        </w:rPr>
        <w:t xml:space="preserve"> energy resource selection,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Fuel (primary energy source) switching,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Applied steam energy versus direct-fired energy versus electricity.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Insulation issues.</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Steam</w:t>
      </w:r>
      <w:proofErr w:type="gramEnd"/>
      <w:r w:rsidRPr="00001714">
        <w:rPr>
          <w:rFonts w:ascii="Arial" w:hAnsi="Arial" w:cs="Arial"/>
          <w:sz w:val="20"/>
        </w:rPr>
        <w:t xml:space="preserve"> trap and steam leak management.</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Condensate</w:t>
      </w:r>
      <w:proofErr w:type="gramEnd"/>
      <w:r w:rsidRPr="00001714">
        <w:rPr>
          <w:rFonts w:ascii="Arial" w:hAnsi="Arial" w:cs="Arial"/>
          <w:sz w:val="20"/>
        </w:rPr>
        <w:t xml:space="preserve"> recovery.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Steam end-use management.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Capabilities and knowledge includes, but is not limited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Background, experience, and recognized abilities to perform the assessment activities, data analysis, and report preparation.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Familiarity with operating and maintenance practices for steam or process heating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Additional potential steam system improvement opportunities including improving steam turbine operations and reducing steam demand.</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Additional</w:t>
      </w:r>
      <w:proofErr w:type="gramEnd"/>
      <w:r w:rsidRPr="00001714">
        <w:rPr>
          <w:rFonts w:ascii="Arial" w:hAnsi="Arial" w:cs="Arial"/>
          <w:sz w:val="20"/>
        </w:rPr>
        <w:t xml:space="preserve"> process heating system opportunities including effective utilization of waste heat and use of proper process heating methods.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Boiler-steam turbine cogeneration systems.</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(vi) Industry</w:t>
      </w:r>
      <w:proofErr w:type="gramEnd"/>
      <w:r w:rsidRPr="00001714">
        <w:rPr>
          <w:rFonts w:ascii="Arial" w:hAnsi="Arial" w:cs="Arial"/>
          <w:sz w:val="20"/>
        </w:rPr>
        <w:t xml:space="preserve"> specific steam end-use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Refinery gas</w:t>
      </w:r>
      <w:r w:rsidRPr="00001714">
        <w:rPr>
          <w:rFonts w:ascii="Arial" w:hAnsi="Arial" w:cs="Arial"/>
          <w:sz w:val="20"/>
        </w:rPr>
        <w:t xml:space="preserve"> means any gas that is generated at a petroleum refinery and is combusted. Refinery gas includes natural gas when the natural gas is combined and combusted in any proportion with a gas generated at a refinery. Refinery gas includes gases generated from other facilities when that gas is combined and combusted in any proportion with gas generated at a refinery.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Regulated gas stream</w:t>
      </w:r>
      <w:r w:rsidRPr="00001714">
        <w:rPr>
          <w:rFonts w:ascii="Arial" w:hAnsi="Arial" w:cs="Arial"/>
          <w:sz w:val="20"/>
        </w:rPr>
        <w:t xml:space="preserve"> means an offgas stream that is routed to a boiler or process heater for the purpose of achieving compliance with a standard under another subpart of this part or part 60, part 61, or part 65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Residential boiler</w:t>
      </w:r>
      <w:r w:rsidRPr="00001714">
        <w:rPr>
          <w:rFonts w:ascii="Arial" w:hAnsi="Arial" w:cs="Arial"/>
          <w:sz w:val="20"/>
        </w:rPr>
        <w:t xml:space="preserve"> means a boiler used to provide heat and/or hot water and/or as part of a residential combined heat and power system. This definition includes boilers located at an institutional facility (e.g., university campus, military base, church grounds) or commercial/industrial facility (e.g., farm) used primarily to provide heat and/or hot water for: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dwelling containing four or fewer families;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 single unit residence dwelling that has since been converted or subdivided into condominiums or apartments.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Residual oil</w:t>
      </w:r>
      <w:r w:rsidRPr="00001714">
        <w:rPr>
          <w:rFonts w:ascii="Arial" w:hAnsi="Arial" w:cs="Arial"/>
          <w:sz w:val="20"/>
        </w:rPr>
        <w:t xml:space="preserve"> means crude oil, fuel oil that does not comply with the specifications under the definition of distillate oil, and all fuel oil numbers 4, 5, and 6, as defined by the American Society of Testing and Materials in ASTM D396-10 (incorporated by reference, </w:t>
      </w:r>
      <w:r w:rsidRPr="00001714">
        <w:rPr>
          <w:rFonts w:ascii="Arial" w:hAnsi="Arial" w:cs="Arial"/>
          <w:i/>
          <w:iCs/>
          <w:sz w:val="20"/>
        </w:rPr>
        <w:t>see</w:t>
      </w:r>
      <w:r w:rsidRPr="00001714">
        <w:rPr>
          <w:rFonts w:ascii="Arial" w:hAnsi="Arial" w:cs="Arial"/>
          <w:sz w:val="20"/>
        </w:rPr>
        <w:t xml:space="preserve"> §63.14(b)).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Responsible official</w:t>
      </w:r>
      <w:r w:rsidRPr="00001714">
        <w:rPr>
          <w:rFonts w:ascii="Arial" w:hAnsi="Arial" w:cs="Arial"/>
          <w:sz w:val="20"/>
        </w:rPr>
        <w:t xml:space="preserve"> means responsible official as defined in §70.2.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Secondary material</w:t>
      </w:r>
      <w:r w:rsidRPr="00001714">
        <w:rPr>
          <w:rFonts w:ascii="Arial" w:hAnsi="Arial" w:cs="Arial"/>
          <w:sz w:val="20"/>
        </w:rPr>
        <w:t xml:space="preserve"> means the material as defined in §241.2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Shutdown</w:t>
      </w:r>
      <w:r w:rsidRPr="00001714">
        <w:rPr>
          <w:rFonts w:ascii="Arial" w:hAnsi="Arial" w:cs="Arial"/>
          <w:sz w:val="20"/>
        </w:rPr>
        <w:t xml:space="preserve"> means the cessation of operation of a boiler or process heater for any purpose. Shutdown begins either when none of the steam from the boiler is supplied for heating and/or producing electricity, or for any other purpose, or at the point of no fuel being fired in the boiler or process heater, whichever is earlier. Shutdown ends when there is no steam and no heat being supplied and no fuel being fired in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Sloped grate</w:t>
      </w:r>
      <w:r w:rsidRPr="00001714">
        <w:rPr>
          <w:rFonts w:ascii="Arial" w:hAnsi="Arial" w:cs="Arial"/>
          <w:sz w:val="20"/>
        </w:rPr>
        <w:t xml:space="preserve"> means a unit where the solid fuel is fed to the top of the grate from where it slides downwards; while sliding the fuel first dries and then ignites and burns. The ash is deposited at the bottom of the grate. Fluidized bed, </w:t>
      </w:r>
      <w:proofErr w:type="gramStart"/>
      <w:r w:rsidRPr="00001714">
        <w:rPr>
          <w:rFonts w:ascii="Arial" w:hAnsi="Arial" w:cs="Arial"/>
          <w:sz w:val="20"/>
        </w:rPr>
        <w:t>dutch</w:t>
      </w:r>
      <w:proofErr w:type="gramEnd"/>
      <w:r w:rsidRPr="00001714">
        <w:rPr>
          <w:rFonts w:ascii="Arial" w:hAnsi="Arial" w:cs="Arial"/>
          <w:sz w:val="20"/>
        </w:rPr>
        <w:t xml:space="preserve"> oven, pile burner, hybrid suspension grate, suspension burners, and fuel cells are not considered to be a sloped grate design.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Solid fossil fuel</w:t>
      </w:r>
      <w:r w:rsidRPr="00001714">
        <w:rPr>
          <w:rFonts w:ascii="Arial" w:hAnsi="Arial" w:cs="Arial"/>
          <w:sz w:val="20"/>
        </w:rPr>
        <w:t xml:space="preserve"> includes, but is not limited to, coal, coke, petroleum coke, and tire derived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Solid fuel</w:t>
      </w:r>
      <w:r w:rsidRPr="00001714">
        <w:rPr>
          <w:rFonts w:ascii="Arial" w:hAnsi="Arial" w:cs="Arial"/>
          <w:sz w:val="20"/>
        </w:rPr>
        <w:t xml:space="preserve"> means any solid fossil fuel or biomass or bio-based solid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Startup</w:t>
      </w:r>
      <w:r w:rsidRPr="00001714">
        <w:rPr>
          <w:rFonts w:ascii="Arial" w:hAnsi="Arial" w:cs="Arial"/>
          <w:sz w:val="20"/>
        </w:rPr>
        <w:t xml:space="preserve"> means either the first-ever firing of fuel in a boiler or process heater for the purpose of supplying steam or heat for heating and/or producing electricity, or for any other purpose, or the firing of fuel in a boiler after a shutdown event for any purpose. Startup ends when any of the steam or heat from the boiler or process heater is supplied for heating, and/or producing electricity, or for any other purpose.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Steam output</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a boiler that produces steam for process or heating only (no power generation), the energy content in terms of MMBtu of the boiler steam output,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 boiler that cogenerates process steam and electricity (also known as combined heat and power), the total energy output, which is the sum of the energy content of the steam exiting the turbine and sent to process in MMBtu and the energy of the electricity generated converted to MMBtu at a rate of 10,000 Btu per kilowatt-hour generated (10 MMBtu per megawatt-hour),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boiler that generates only electricity, the alternate output-based emission limits would be calculated using Equations 21 through 25 of this section, as appropriate: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emission limits for boilers in the unit designed to burn solid fuel subcategory use Equation 21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6" name="Picture 56" descr="eCFR graphic er31ja13.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CFR graphic er31ja13.025.gif"/>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74"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lastRenderedPageBreak/>
        <w:t>(</w:t>
      </w:r>
      <w:proofErr w:type="gramStart"/>
      <w:r w:rsidRPr="00001714">
        <w:rPr>
          <w:rFonts w:ascii="Arial" w:hAnsi="Arial" w:cs="Arial"/>
          <w:sz w:val="20"/>
        </w:rPr>
        <w:t>ii</w:t>
      </w:r>
      <w:proofErr w:type="gramEnd"/>
      <w:r w:rsidRPr="00001714">
        <w:rPr>
          <w:rFonts w:ascii="Arial" w:hAnsi="Arial" w:cs="Arial"/>
          <w:sz w:val="20"/>
        </w:rPr>
        <w:t>) For PM and CO emission limits for boilers in one of the subcategories of units designed to burn coal use Equation 22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5" name="Picture 55" descr="eCFR graphic er31ja13.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CFR graphic er31ja13.026.gif"/>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76"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proofErr w:type="gramStart"/>
      <w:r w:rsidRPr="00001714">
        <w:rPr>
          <w:rFonts w:ascii="Arial" w:hAnsi="Arial" w:cs="Arial"/>
          <w:sz w:val="20"/>
        </w:rPr>
        <w:t>iii</w:t>
      </w:r>
      <w:proofErr w:type="gramEnd"/>
      <w:r w:rsidRPr="00001714">
        <w:rPr>
          <w:rFonts w:ascii="Arial" w:hAnsi="Arial" w:cs="Arial"/>
          <w:sz w:val="20"/>
        </w:rPr>
        <w:t>) For PM and CO emission limits for boilers in one of the subcategories of units designed to burn biomass use Equation 23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4" name="Picture 54" descr="eCFR graphic er31ja13.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CFR graphic er31ja13.027.gif"/>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78"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rPr>
        <w:t>(iv) For</w:t>
      </w:r>
      <w:proofErr w:type="gramEnd"/>
      <w:r w:rsidRPr="00001714">
        <w:rPr>
          <w:rFonts w:ascii="Arial" w:hAnsi="Arial" w:cs="Arial"/>
          <w:sz w:val="20"/>
        </w:rPr>
        <w:t xml:space="preserve"> emission limits for boilers in one of the subcategories of units designed to burn liquid fuels use Equation 24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3" name="Picture 53" descr="eCFR graphic er31ja13.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CFR graphic er31ja13.028.gif"/>
                    <pic:cNvPicPr>
                      <a:picLocks noChangeAspect="1" noChangeArrowheads="1"/>
                    </pic:cNvPicPr>
                  </pic:nvPicPr>
                  <pic:blipFill>
                    <a:blip r:embed="rId1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80"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emission limits for boilers in the unit designed to burn gas 2 (other) subcategory, use Equation 25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2" name="Picture 52" descr="eCFR graphic er31ja13.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eCFR graphic er31ja13.029.gif"/>
                    <pic:cNvPicPr>
                      <a:picLocks noChangeAspect="1" noChangeArrowheads="1"/>
                    </pic:cNvPicPr>
                  </pic:nvPicPr>
                  <pic:blipFill>
                    <a:blip r:embed="rId1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36167B" w:rsidP="00F0171B">
      <w:pPr>
        <w:spacing w:before="100" w:beforeAutospacing="1" w:after="100" w:afterAutospacing="1"/>
        <w:ind w:firstLine="480"/>
        <w:rPr>
          <w:rFonts w:ascii="Arial" w:hAnsi="Arial" w:cs="Arial"/>
          <w:sz w:val="20"/>
        </w:rPr>
      </w:pPr>
      <w:hyperlink r:id="rId182"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Stoker</w:t>
      </w:r>
      <w:r w:rsidRPr="00001714">
        <w:rPr>
          <w:rFonts w:ascii="Arial" w:hAnsi="Arial" w:cs="Arial"/>
          <w:sz w:val="20"/>
        </w:rPr>
        <w:t xml:space="preserve"> means a unit consisting of a mechanically operated fuel feeding mechanism, a stationary or moving grate to support the burning of fuel and admit under-grate air to the fuel, an overfire air system to complete combustion, and an ash discharge system. This definition of stoker includes air swept stokers. There are two general types of stokers: Underfeed and overfeed. Overfeed stokers include mass feed and spreader stokers. Fluidized bed, </w:t>
      </w:r>
      <w:proofErr w:type="gramStart"/>
      <w:r w:rsidRPr="00001714">
        <w:rPr>
          <w:rFonts w:ascii="Arial" w:hAnsi="Arial" w:cs="Arial"/>
          <w:sz w:val="20"/>
        </w:rPr>
        <w:t>dutch</w:t>
      </w:r>
      <w:proofErr w:type="gramEnd"/>
      <w:r w:rsidRPr="00001714">
        <w:rPr>
          <w:rFonts w:ascii="Arial" w:hAnsi="Arial" w:cs="Arial"/>
          <w:sz w:val="20"/>
        </w:rPr>
        <w:t xml:space="preserve"> oven, pile burner, hybrid suspension grate, suspension burners, and fuel cells are not considered to be a stoker design.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Stoker/sloped grate/other unit designed to burn kiln dried biomass</w:t>
      </w:r>
      <w:r w:rsidRPr="00001714">
        <w:rPr>
          <w:rFonts w:ascii="Arial" w:hAnsi="Arial" w:cs="Arial"/>
          <w:sz w:val="20"/>
        </w:rPr>
        <w:t xml:space="preserve"> means the unit is in the units designed to burn biomass/bio-based solid subcategory that is either a stoker, sloped grate, or other combustor design and is not in the stoker/sloped grate/other units designed to burn wet biomass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Stoker/sloped grate/other unit designed to burn wet biomass</w:t>
      </w:r>
      <w:r w:rsidRPr="00001714">
        <w:rPr>
          <w:rFonts w:ascii="Arial" w:hAnsi="Arial" w:cs="Arial"/>
          <w:sz w:val="20"/>
        </w:rPr>
        <w:t xml:space="preserve"> means the unit is in the units designed to burn biomass/bio-based solid subcategory that is either a stoker, sloped grate, or other combustor design and any of the biomass/bio-based solid fuel combusted in the unit exceeds 20 percent moisture on an annual heat input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Suspension burner</w:t>
      </w:r>
      <w:r w:rsidRPr="00001714">
        <w:rPr>
          <w:rFonts w:ascii="Arial" w:hAnsi="Arial" w:cs="Arial"/>
          <w:sz w:val="20"/>
        </w:rPr>
        <w:t xml:space="preserve"> means a unit designed to fire dry biomass/biobased solid particles in suspension that are conveyed in an airstream to the furnace like pulverized coal. The combustion of the fuel material is completed on a grate or floor below. The biomass/biobased fuel combusted in the unit shall not exceed 20 percent moisture on an annual heat input basis. Fluidized bed, </w:t>
      </w:r>
      <w:proofErr w:type="gramStart"/>
      <w:r w:rsidRPr="00001714">
        <w:rPr>
          <w:rFonts w:ascii="Arial" w:hAnsi="Arial" w:cs="Arial"/>
          <w:sz w:val="20"/>
        </w:rPr>
        <w:t>dutch</w:t>
      </w:r>
      <w:proofErr w:type="gramEnd"/>
      <w:r w:rsidRPr="00001714">
        <w:rPr>
          <w:rFonts w:ascii="Arial" w:hAnsi="Arial" w:cs="Arial"/>
          <w:sz w:val="20"/>
        </w:rPr>
        <w:t xml:space="preserve"> oven, pile burner, and hybrid suspension grate units are not part of the suspension burner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Temporary boiler</w:t>
      </w:r>
      <w:r w:rsidRPr="00001714">
        <w:rPr>
          <w:rFonts w:ascii="Arial" w:hAnsi="Arial" w:cs="Arial"/>
          <w:sz w:val="20"/>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equipment is attached to a foundation.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and performs the same or similar function will be included in calculating the consecutive time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equipment is located at a seasonal facility and operates during the full annual operating period of the seasonal facility, remains at the facility for at least 2 years, and operates at that facility for at least 3 months each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Total selected metals (TSM)</w:t>
      </w:r>
      <w:r w:rsidRPr="00001714">
        <w:rPr>
          <w:rFonts w:ascii="Arial" w:hAnsi="Arial" w:cs="Arial"/>
          <w:sz w:val="20"/>
        </w:rPr>
        <w:t xml:space="preserve"> means the sum of the following metallic hazardous air pollutants: arsenic, beryllium, cadmium, chromium, lead, manganese, nickel and selenium.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Traditional fuel</w:t>
      </w:r>
      <w:r w:rsidRPr="00001714">
        <w:rPr>
          <w:rFonts w:ascii="Arial" w:hAnsi="Arial" w:cs="Arial"/>
          <w:sz w:val="20"/>
        </w:rPr>
        <w:t xml:space="preserve"> means the fuel as defined in §241.2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Tune-up</w:t>
      </w:r>
      <w:r w:rsidRPr="00001714">
        <w:rPr>
          <w:rFonts w:ascii="Arial" w:hAnsi="Arial" w:cs="Arial"/>
          <w:sz w:val="20"/>
        </w:rPr>
        <w:t xml:space="preserve"> means adjustments made to a boiler or process heater in accordance with the procedures outlined in §63.7540(a</w:t>
      </w:r>
      <w:proofErr w:type="gramStart"/>
      <w:r w:rsidRPr="00001714">
        <w:rPr>
          <w:rFonts w:ascii="Arial" w:hAnsi="Arial" w:cs="Arial"/>
          <w:sz w:val="20"/>
        </w:rPr>
        <w:t>)(</w:t>
      </w:r>
      <w:proofErr w:type="gramEnd"/>
      <w:r w:rsidRPr="00001714">
        <w:rPr>
          <w:rFonts w:ascii="Arial" w:hAnsi="Arial" w:cs="Arial"/>
          <w:sz w:val="20"/>
        </w:rPr>
        <w:t>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Ultra low sulfur liquid fuel</w:t>
      </w:r>
      <w:r w:rsidRPr="00001714">
        <w:rPr>
          <w:rFonts w:ascii="Arial" w:hAnsi="Arial" w:cs="Arial"/>
          <w:sz w:val="20"/>
        </w:rPr>
        <w:t xml:space="preserve"> means a distillate oil that has less than or equal to 15 ppm sulfur.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lastRenderedPageBreak/>
        <w:t>Unit designed to burn biomass/bio-based solid subcategory</w:t>
      </w:r>
      <w:r w:rsidRPr="00001714">
        <w:rPr>
          <w:rFonts w:ascii="Arial" w:hAnsi="Arial" w:cs="Arial"/>
          <w:sz w:val="20"/>
        </w:rPr>
        <w:t xml:space="preserve"> includes any boiler or process heater that burns at least 10 percent biomass or bio-based solids on an annual heat input basis in combination with solid fossil fuels, liquid fuels, or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coal/solid fossil fuel subcategory</w:t>
      </w:r>
      <w:r w:rsidRPr="00001714">
        <w:rPr>
          <w:rFonts w:ascii="Arial" w:hAnsi="Arial" w:cs="Arial"/>
          <w:sz w:val="20"/>
        </w:rPr>
        <w:t xml:space="preserve"> includes any boiler or process heater that burns any coal or other solid fossil fuel alone or at least 10 percent coal or other solid fossil fuel on an annual heat input basis in combination with liquid fuels, gaseous fuels, or less than 10 percent biomass and bio-based solids on an annual heat input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gas 1 subcategory</w:t>
      </w:r>
      <w:r w:rsidRPr="00001714">
        <w:rPr>
          <w:rFonts w:ascii="Arial" w:hAnsi="Arial" w:cs="Arial"/>
          <w:sz w:val="20"/>
        </w:rPr>
        <w:t xml:space="preserve"> includes any boiler or process heater that burns only natural gas, refinery gas, and/or other gas 1 fuels. Gaseous fuel boilers and process heaters that burn liquid fuel for periodic testing of liquid fuel, maintenance, or operator training, not to exceed a combined total of 48 hours during any calendar year, are included in this definition. Gaseous fuel boilers and process heaters that burn liquid fuel during periods of gas curtailment or gas supply interruptions of any duration are also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gas 2 (other) subcategory</w:t>
      </w:r>
      <w:r w:rsidRPr="00001714">
        <w:rPr>
          <w:rFonts w:ascii="Arial" w:hAnsi="Arial" w:cs="Arial"/>
          <w:sz w:val="20"/>
        </w:rPr>
        <w:t xml:space="preserve"> includes any boiler or process heater that is not in the unit designed to burn gas 1 subcategory and burns any gaseous fuels either alone or in combination with less than 10 percent coal/solid fossil fuel, and less than 10 percent biomass/bio-based solid fuel on an annual heat input basis, and no liquid fuels. Gaseous fuel boilers and process heaters that are not in the unit designed to burn gas 1 subcategory and that burn liquid fuel for periodic testing of liquid fuel, maintenance, or operator training, not to exceed a combined total of 48 hours during any calendar year, are included in this definition. Gaseous fuel boilers and process heaters that are not in the unit designed to burn gas 1 subcategory and that burn liquid fuel during periods of gas curtailment or gas supply interruption of any duration are also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heavy liquid subcategory</w:t>
      </w:r>
      <w:r w:rsidRPr="00001714">
        <w:rPr>
          <w:rFonts w:ascii="Arial" w:hAnsi="Arial" w:cs="Arial"/>
          <w:sz w:val="20"/>
        </w:rPr>
        <w:t xml:space="preserve"> means a unit in the unit designed to burn liquid subcategory where at least 10 percent of the heat input from liquid fuels on an annual heat input basis comes from heavy liquids.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light liquid subcategory</w:t>
      </w:r>
      <w:r w:rsidRPr="00001714">
        <w:rPr>
          <w:rFonts w:ascii="Arial" w:hAnsi="Arial" w:cs="Arial"/>
          <w:sz w:val="20"/>
        </w:rPr>
        <w:t xml:space="preserve"> means a unit in the unit designed to burn liquid subcategory that is not part of the unit designed to burn heavy liquid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liquid subcategory</w:t>
      </w:r>
      <w:r w:rsidRPr="00001714">
        <w:rPr>
          <w:rFonts w:ascii="Arial" w:hAnsi="Arial" w:cs="Arial"/>
          <w:sz w:val="20"/>
        </w:rPr>
        <w:t xml:space="preserve"> includes any boiler or process heater that burns any liquid fuel, but less than 10 percent coal/solid fossil fuel and less than 10 percent biomass/bio-based solid fuel on an annual heat input basis, either alone or in combination with gaseous fuels. Units in the unit design to burn gas 1 or unit designed to burn gas 2 (other) subcategories that burn liquid fuel for periodic testing of liquid fuel, maintenance, or operator training, not to exceed a combined total of 48 hours during any calendar year are not included in this definition. Units in the unit design to burn gas 1 or unit designed to burn gas 2 (other) subcategories during periods of gas curtailment or gas supply interruption of any duration are also not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liquid fuel that is a non-continental unit</w:t>
      </w:r>
      <w:r w:rsidRPr="00001714">
        <w:rPr>
          <w:rFonts w:ascii="Arial" w:hAnsi="Arial" w:cs="Arial"/>
          <w:sz w:val="20"/>
        </w:rPr>
        <w:t xml:space="preserve"> means an industrial, commercial, or institutional boiler or process heater meeting the definition of the unit designed to burn liquid subcategory located in the State of Hawaii, the Virgin Islands, Guam, American Samoa, the Commonwealth of Puerto Rico, or the Northern Mariana Islands.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solid fuel subcategory</w:t>
      </w:r>
      <w:r w:rsidRPr="00001714">
        <w:rPr>
          <w:rFonts w:ascii="Arial" w:hAnsi="Arial" w:cs="Arial"/>
          <w:sz w:val="20"/>
        </w:rPr>
        <w:t xml:space="preserve"> means any boiler or process heater that burns only solid fuels or at least 10 percent solid fuel on an annual heat input basis in combination with liquid fuels or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Vegetable oil</w:t>
      </w:r>
      <w:r w:rsidRPr="00001714">
        <w:rPr>
          <w:rFonts w:ascii="Arial" w:hAnsi="Arial" w:cs="Arial"/>
          <w:sz w:val="20"/>
        </w:rPr>
        <w:t xml:space="preserve"> means oils extracted from vegetation.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Voluntary Consensus Standards or VCS</w:t>
      </w:r>
      <w:r w:rsidRPr="00001714">
        <w:rPr>
          <w:rFonts w:ascii="Arial" w:hAnsi="Arial" w:cs="Arial"/>
          <w:sz w:val="20"/>
        </w:rPr>
        <w:t xml:space="preserve"> mean technical standards (</w:t>
      </w:r>
      <w:r w:rsidRPr="00001714">
        <w:rPr>
          <w:rFonts w:ascii="Arial" w:hAnsi="Arial" w:cs="Arial"/>
          <w:i/>
          <w:iCs/>
          <w:sz w:val="20"/>
        </w:rPr>
        <w:t>e.g.,</w:t>
      </w:r>
      <w:r w:rsidRPr="00001714">
        <w:rPr>
          <w:rFonts w:ascii="Arial" w:hAnsi="Arial" w:cs="Arial"/>
          <w:sz w:val="20"/>
        </w:rPr>
        <w:t xml:space="preserve"> materials specifications, test methods, sampling procedures, </w:t>
      </w:r>
      <w:proofErr w:type="gramStart"/>
      <w:r w:rsidRPr="00001714">
        <w:rPr>
          <w:rFonts w:ascii="Arial" w:hAnsi="Arial" w:cs="Arial"/>
          <w:sz w:val="20"/>
        </w:rPr>
        <w:t>business</w:t>
      </w:r>
      <w:proofErr w:type="gramEnd"/>
      <w:r w:rsidRPr="00001714">
        <w:rPr>
          <w:rFonts w:ascii="Arial" w:hAnsi="Arial" w:cs="Arial"/>
          <w:sz w:val="20"/>
        </w:rPr>
        <w:t xml:space="preserve"> practices) developed or adopted by one or more voluntary consensus bodies. EPA/Office of Air Quality Planning and Standards, by precedent, has only used VCS that are written in English. Examples of VCS bodies are: American Society of Testing and Materials (ASTM 100 Barr Harbor Drive, </w:t>
      </w:r>
      <w:r w:rsidRPr="00001714">
        <w:rPr>
          <w:rFonts w:ascii="Arial" w:hAnsi="Arial" w:cs="Arial"/>
          <w:sz w:val="20"/>
        </w:rPr>
        <w:lastRenderedPageBreak/>
        <w:t xml:space="preserve">P.O. Box CB700, West Conshohocken, Pennsylvania 19428-B2959, (800) 262-1373, </w:t>
      </w:r>
      <w:r w:rsidRPr="00001714">
        <w:rPr>
          <w:rFonts w:ascii="Arial" w:hAnsi="Arial" w:cs="Arial"/>
          <w:i/>
          <w:iCs/>
          <w:sz w:val="20"/>
        </w:rPr>
        <w:t>http://www.astm.org</w:t>
      </w:r>
      <w:r w:rsidRPr="00001714">
        <w:rPr>
          <w:rFonts w:ascii="Arial" w:hAnsi="Arial" w:cs="Arial"/>
          <w:sz w:val="20"/>
        </w:rPr>
        <w:t xml:space="preserve">), American Society of Mechanical Engineers (ASME ASME, Three Park Avenue, New York, NY 10016-5990, (800) 843-2763, </w:t>
      </w:r>
      <w:r w:rsidRPr="00001714">
        <w:rPr>
          <w:rFonts w:ascii="Arial" w:hAnsi="Arial" w:cs="Arial"/>
          <w:i/>
          <w:iCs/>
          <w:sz w:val="20"/>
        </w:rPr>
        <w:t>http://www.asme.org</w:t>
      </w:r>
      <w:r w:rsidRPr="00001714">
        <w:rPr>
          <w:rFonts w:ascii="Arial" w:hAnsi="Arial" w:cs="Arial"/>
          <w:sz w:val="20"/>
        </w:rPr>
        <w:t xml:space="preserve">), International Standards Organization (ISO 1, ch. de la Voie-Creuse, Case postale 56, CH-1211 Geneva 20, Switzerland, +41 22 749 01 11, </w:t>
      </w:r>
      <w:r w:rsidRPr="00001714">
        <w:rPr>
          <w:rFonts w:ascii="Arial" w:hAnsi="Arial" w:cs="Arial"/>
          <w:i/>
          <w:iCs/>
          <w:sz w:val="20"/>
        </w:rPr>
        <w:t>http://www.iso.org/iso/home.htm</w:t>
      </w:r>
      <w:r w:rsidRPr="00001714">
        <w:rPr>
          <w:rFonts w:ascii="Arial" w:hAnsi="Arial" w:cs="Arial"/>
          <w:sz w:val="20"/>
        </w:rPr>
        <w:t xml:space="preserve">), Standards Australia (AS Level 10, The Exchange Centre, 20 Bridge Street, Sydney, GPO Box 476, Sydney NSW 2001, + 61 2 9237 6171 </w:t>
      </w:r>
      <w:r w:rsidRPr="00001714">
        <w:rPr>
          <w:rFonts w:ascii="Arial" w:hAnsi="Arial" w:cs="Arial"/>
          <w:i/>
          <w:iCs/>
          <w:sz w:val="20"/>
        </w:rPr>
        <w:t>http://www.stadards.org.au</w:t>
      </w:r>
      <w:r w:rsidRPr="00001714">
        <w:rPr>
          <w:rFonts w:ascii="Arial" w:hAnsi="Arial" w:cs="Arial"/>
          <w:sz w:val="20"/>
        </w:rPr>
        <w:t xml:space="preserve">), British Standards Institution (BSI, 389 Chiswick High Road, London, W4 4AL, United Kingdom, +44 (0)20 8996 9001, </w:t>
      </w:r>
      <w:r w:rsidRPr="00001714">
        <w:rPr>
          <w:rFonts w:ascii="Arial" w:hAnsi="Arial" w:cs="Arial"/>
          <w:i/>
          <w:iCs/>
          <w:sz w:val="20"/>
        </w:rPr>
        <w:t>http://www.bsigroup.com</w:t>
      </w:r>
      <w:r w:rsidRPr="00001714">
        <w:rPr>
          <w:rFonts w:ascii="Arial" w:hAnsi="Arial" w:cs="Arial"/>
          <w:sz w:val="20"/>
        </w:rPr>
        <w:t xml:space="preserve">), Canadian Standards Association (CSA 5060 Spectrum Way, Suite 100, Mississauga, Ontario L4W 5N6, Canada, 800-463-6727, </w:t>
      </w:r>
      <w:r w:rsidRPr="00001714">
        <w:rPr>
          <w:rFonts w:ascii="Arial" w:hAnsi="Arial" w:cs="Arial"/>
          <w:i/>
          <w:iCs/>
          <w:sz w:val="20"/>
        </w:rPr>
        <w:t>http://www.csa.ca</w:t>
      </w:r>
      <w:r w:rsidRPr="00001714">
        <w:rPr>
          <w:rFonts w:ascii="Arial" w:hAnsi="Arial" w:cs="Arial"/>
          <w:sz w:val="20"/>
        </w:rPr>
        <w:t xml:space="preserve">), European Committee for Standardization (CEN CENELEC Management Centre Avenue Marnix 17 B-1000 Brussels, Belgium +32 2 550 08 11, </w:t>
      </w:r>
      <w:r w:rsidRPr="00001714">
        <w:rPr>
          <w:rFonts w:ascii="Arial" w:hAnsi="Arial" w:cs="Arial"/>
          <w:i/>
          <w:iCs/>
          <w:sz w:val="20"/>
        </w:rPr>
        <w:t>http://www.cen.eu/cen</w:t>
      </w:r>
      <w:r w:rsidRPr="00001714">
        <w:rPr>
          <w:rFonts w:ascii="Arial" w:hAnsi="Arial" w:cs="Arial"/>
          <w:sz w:val="20"/>
        </w:rPr>
        <w:t xml:space="preserve">), and German Engineering Standards (VDI VDI Guidelines Department, P.O. Box 10 11 39 40002, Duesseldorf, Germany, +49 211 6214-230, </w:t>
      </w:r>
      <w:r w:rsidRPr="00001714">
        <w:rPr>
          <w:rFonts w:ascii="Arial" w:hAnsi="Arial" w:cs="Arial"/>
          <w:i/>
          <w:iCs/>
          <w:sz w:val="20"/>
        </w:rPr>
        <w:t>http://www.vdi.eu</w:t>
      </w:r>
      <w:r w:rsidRPr="00001714">
        <w:rPr>
          <w:rFonts w:ascii="Arial" w:hAnsi="Arial" w:cs="Arial"/>
          <w:sz w:val="20"/>
        </w:rPr>
        <w:t xml:space="preserve">). The types of standards that are not considered VCS are standards developed by: The United States, </w:t>
      </w:r>
      <w:r w:rsidRPr="00001714">
        <w:rPr>
          <w:rFonts w:ascii="Arial" w:hAnsi="Arial" w:cs="Arial"/>
          <w:i/>
          <w:iCs/>
          <w:sz w:val="20"/>
        </w:rPr>
        <w:t>e.g.,</w:t>
      </w:r>
      <w:r w:rsidRPr="00001714">
        <w:rPr>
          <w:rFonts w:ascii="Arial" w:hAnsi="Arial" w:cs="Arial"/>
          <w:sz w:val="20"/>
        </w:rPr>
        <w:t xml:space="preserve"> California (CARB) and Texas (TCEQ); industry groups, such as American Petroleum Institute (API), Gas Processors Association (GPA), and Gas Research Institute (GRI); and other branches of the U.S. government, </w:t>
      </w:r>
      <w:r w:rsidRPr="00001714">
        <w:rPr>
          <w:rFonts w:ascii="Arial" w:hAnsi="Arial" w:cs="Arial"/>
          <w:i/>
          <w:iCs/>
          <w:sz w:val="20"/>
        </w:rPr>
        <w:t>e.g.,</w:t>
      </w:r>
      <w:r w:rsidRPr="00001714">
        <w:rPr>
          <w:rFonts w:ascii="Arial" w:hAnsi="Arial" w:cs="Arial"/>
          <w:sz w:val="20"/>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Waste heat boiler</w:t>
      </w:r>
      <w:r w:rsidRPr="00001714">
        <w:rPr>
          <w:rFonts w:ascii="Arial" w:hAnsi="Arial" w:cs="Arial"/>
          <w:sz w:val="20"/>
        </w:rPr>
        <w:t xml:space="preserve"> means a device that recovers normally unused energy (i.e., hot exhaust gas) and converts it to usable heat. Waste heat boilers are also referred to as heat recovery steam generators. Waste heat boilers are heat exchangers generating steam from incoming hot exhaust gas from an industrial (e.g., thermal oxidizer, kiln, </w:t>
      </w:r>
      <w:proofErr w:type="gramStart"/>
      <w:r w:rsidRPr="00001714">
        <w:rPr>
          <w:rFonts w:ascii="Arial" w:hAnsi="Arial" w:cs="Arial"/>
          <w:sz w:val="20"/>
        </w:rPr>
        <w:t>furnace</w:t>
      </w:r>
      <w:proofErr w:type="gramEnd"/>
      <w:r w:rsidRPr="00001714">
        <w:rPr>
          <w:rFonts w:ascii="Arial" w:hAnsi="Arial" w:cs="Arial"/>
          <w:sz w:val="20"/>
        </w:rPr>
        <w:t>) or power (e.g., combustion turbine, engine) equipment. Duct burners are sometimes used to increase the temperature of the incoming hot exhaust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Waste heat process heater</w:t>
      </w:r>
      <w:r w:rsidRPr="00001714">
        <w:rPr>
          <w:rFonts w:ascii="Arial" w:hAnsi="Arial" w:cs="Arial"/>
          <w:sz w:val="20"/>
        </w:rPr>
        <w:t xml:space="preserve"> means an enclosed device that recovers normally unused energy (i.e., hot exhaust gas) and converts it to usable heat. Waste heat process heaters are also referred to as recuperative process heaters. This definition includes both fired and unfired waste heat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Wet scrubber</w:t>
      </w:r>
      <w:r w:rsidRPr="00001714">
        <w:rPr>
          <w:rFonts w:ascii="Arial" w:hAnsi="Arial" w:cs="Arial"/>
          <w:sz w:val="20"/>
        </w:rPr>
        <w:t xml:space="preserve"> means any add-on air pollution control device that mixes an aqueous stream or slurry with the exhaust gases from a boiler or process heater to control emissions of particulate matter or to absorb and neutralize acid gases, such as hydrogen chloride. A wet scrubber creates an aqueous stream or slurry as a byproduct of the emissions control process.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Work practice standard</w:t>
      </w:r>
      <w:r w:rsidRPr="00001714">
        <w:rPr>
          <w:rFonts w:ascii="Arial" w:hAnsi="Arial" w:cs="Arial"/>
          <w:sz w:val="20"/>
        </w:rPr>
        <w:t xml:space="preserve"> means any design, equipment, work practice, or operational standard, or combination </w:t>
      </w:r>
      <w:proofErr w:type="gramStart"/>
      <w:r w:rsidRPr="00001714">
        <w:rPr>
          <w:rFonts w:ascii="Arial" w:hAnsi="Arial" w:cs="Arial"/>
          <w:sz w:val="20"/>
        </w:rPr>
        <w:t>thereof, that</w:t>
      </w:r>
      <w:proofErr w:type="gramEnd"/>
      <w:r w:rsidRPr="00001714">
        <w:rPr>
          <w:rFonts w:ascii="Arial" w:hAnsi="Arial" w:cs="Arial"/>
          <w:sz w:val="20"/>
        </w:rPr>
        <w:t xml:space="preserve"> is promulgated pursuant to section 112(h) of the Clean Air Act.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15664, Mar. 21, 2011, as amended at 78 FR 7163, Jan. 31, 2013]</w:t>
      </w:r>
    </w:p>
    <w:p w:rsidR="00F0171B" w:rsidRPr="00001714" w:rsidRDefault="0036167B" w:rsidP="00F0171B">
      <w:pPr>
        <w:spacing w:before="200" w:after="100" w:afterAutospacing="1"/>
        <w:rPr>
          <w:rFonts w:ascii="Arial" w:hAnsi="Arial" w:cs="Arial"/>
          <w:sz w:val="20"/>
        </w:rPr>
      </w:pPr>
      <w:hyperlink r:id="rId183" w:anchor="_top" w:history="1">
        <w:r w:rsidR="00F0171B" w:rsidRPr="00001714">
          <w:rPr>
            <w:rFonts w:ascii="Arial" w:hAnsi="Arial" w:cs="Arial"/>
            <w:noProof/>
            <w:color w:val="0000FF"/>
            <w:sz w:val="20"/>
          </w:rPr>
          <w:drawing>
            <wp:inline distT="0" distB="0" distL="0" distR="0">
              <wp:extent cx="152400" cy="152400"/>
              <wp:effectExtent l="0" t="0" r="0" b="0"/>
              <wp:docPr id="51" name="Picture 51"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6" w:name="40:14.0.1.1.1.5.144.28.25"/>
      <w:bookmarkEnd w:id="36"/>
      <w:r w:rsidRPr="00001714">
        <w:rPr>
          <w:rFonts w:ascii="Arial" w:hAnsi="Arial" w:cs="Arial"/>
          <w:b/>
          <w:bCs/>
          <w:sz w:val="20"/>
        </w:rPr>
        <w:t>Table 1 to Subpart DDDDD of Part 63—Emission Limits for New or Reconstructed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64"/>
        <w:gridCol w:w="1224"/>
        <w:gridCol w:w="2519"/>
        <w:gridCol w:w="2106"/>
        <w:gridCol w:w="2341"/>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w:t>
            </w:r>
            <w:r w:rsidRPr="00001714">
              <w:rPr>
                <w:rFonts w:ascii="Arial" w:hAnsi="Arial" w:cs="Arial"/>
                <w:b/>
                <w:bCs/>
                <w:sz w:val="20"/>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Or the emissions must not</w:t>
            </w:r>
            <w:r w:rsidRPr="00001714">
              <w:rPr>
                <w:rFonts w:ascii="Arial" w:hAnsi="Arial" w:cs="Arial"/>
                <w:b/>
                <w:bCs/>
                <w:sz w:val="20"/>
              </w:rPr>
              <w:br/>
              <w:t xml:space="preserve">exceed the following alternative output-based limits, except </w:t>
            </w:r>
            <w:r w:rsidRPr="00001714">
              <w:rPr>
                <w:rFonts w:ascii="Arial" w:hAnsi="Arial" w:cs="Arial"/>
                <w:b/>
                <w:bCs/>
                <w:sz w:val="20"/>
              </w:rPr>
              <w:lastRenderedPageBreak/>
              <w:t>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lastRenderedPageBreak/>
              <w:t>Using this specified sampling volume or test run 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0.28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8.0E-07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8.7E-07</w:t>
            </w:r>
            <w:r w:rsidRPr="00001714">
              <w:rPr>
                <w:rFonts w:ascii="Arial" w:hAnsi="Arial" w:cs="Arial"/>
                <w:sz w:val="20"/>
                <w:vertAlign w:val="superscript"/>
              </w:rPr>
              <w:t>a</w:t>
            </w:r>
            <w:r w:rsidRPr="00001714">
              <w:rPr>
                <w:rFonts w:ascii="Arial" w:hAnsi="Arial" w:cs="Arial"/>
                <w:sz w:val="20"/>
              </w:rPr>
              <w:t xml:space="preserve"> lb per MMBtu of steam output or 1.1E-05</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steam output or 1.4E-02 lb per MWh; or (2.7E-05 lb per MMBtu of steam output or 2.9E-04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140 ppm by volume on a dry basis corrected to 3 percent oxygen, 3-run average; or (150 ppm by volume on a dry basis </w:t>
            </w:r>
            <w:r w:rsidRPr="00001714">
              <w:rPr>
                <w:rFonts w:ascii="Arial" w:hAnsi="Arial" w:cs="Arial"/>
                <w:sz w:val="20"/>
              </w:rPr>
              <w:lastRenderedPageBreak/>
              <w:t>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1.2E-01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620 ppm by volume on a dry basis corrected to 3 percent oxygen, 3-run average; or (390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5.8E-01 lb per MMBtu of steam output or 6.8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3.5E-02 lb per MMBtu of steam output or 4.2E-01 lb per MWh; or (2.7E-05 lb per MMBtu of steam output or 3.7E-04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3.5E-02 lb per MMBtu of steam output or 4.2E-01 lb per MWh; or (4.2E-03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2.2E-01 lb per MMBtu of steam output or 2.6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9.8E-03 lb per MMBtu of heat input; or (8.3E-05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0.14 lb per MWh; or (1.1E-04</w:t>
            </w:r>
            <w:r w:rsidRPr="00001714">
              <w:rPr>
                <w:rFonts w:ascii="Arial" w:hAnsi="Arial" w:cs="Arial"/>
                <w:sz w:val="20"/>
                <w:vertAlign w:val="superscript"/>
              </w:rPr>
              <w:t>a</w:t>
            </w:r>
            <w:r w:rsidRPr="00001714">
              <w:rPr>
                <w:rFonts w:ascii="Arial" w:hAnsi="Arial" w:cs="Arial"/>
                <w:sz w:val="20"/>
              </w:rPr>
              <w:t xml:space="preserve"> lb per MMBtu of steam output or 1.2E-03</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3.1E-02 lb per MMBtu of steam output or 4.2E-01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3.5E-01 lb per MMBtu of steam output or 3.6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3.2E-03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4.3E-03 lb per MMBtu of steam output or 4.5E-02 lb per MWh; or (5.2E-05 lb per MMBtu of steam output or 5.5E-04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lb per MMBtu of steam output or 1.0E+01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(2.9E-05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steam output or 2.8E-01 lb per MWh; or (5.1E-05 lb per MMBtu of steam output or 4.1E-04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lb per MMBtu of steam output or 12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3.3E-02 lb per MMBtu of steam output or 3.7E-01 lb per MWh; or (5.5E-04 lb per MMBtu of steam output or 6.2E-03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4.8E-04 lb per MMBtu of steam output or 6.1E-03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4.8E-07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5.3E-07</w:t>
            </w:r>
            <w:r w:rsidRPr="00001714">
              <w:rPr>
                <w:rFonts w:ascii="Arial" w:hAnsi="Arial" w:cs="Arial"/>
                <w:sz w:val="20"/>
                <w:vertAlign w:val="superscript"/>
              </w:rPr>
              <w:t>a</w:t>
            </w:r>
            <w:r w:rsidRPr="00001714">
              <w:rPr>
                <w:rFonts w:ascii="Arial" w:hAnsi="Arial" w:cs="Arial"/>
                <w:sz w:val="20"/>
              </w:rPr>
              <w:t xml:space="preserve"> lb per MMBtu of steam output or 6.7E-06</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1.3E-02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1.5E-02 lb per MMBtu of steam output or 1.8E-01 lb per MWh; or (8.2E-05 lb per MMBtu of steam output or 1.1E-03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w:t>
            </w:r>
            <w:r w:rsidRPr="00001714">
              <w:rPr>
                <w:rFonts w:ascii="Arial" w:hAnsi="Arial" w:cs="Arial"/>
                <w:sz w:val="20"/>
                <w:vertAlign w:val="superscript"/>
              </w:rPr>
              <w:t>a</w:t>
            </w:r>
            <w:r w:rsidRPr="00001714">
              <w:rPr>
                <w:rFonts w:ascii="Arial" w:hAnsi="Arial" w:cs="Arial"/>
                <w:sz w:val="20"/>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1.2E-03</w:t>
            </w:r>
            <w:r w:rsidRPr="00001714">
              <w:rPr>
                <w:rFonts w:ascii="Arial" w:hAnsi="Arial" w:cs="Arial"/>
                <w:sz w:val="20"/>
                <w:vertAlign w:val="superscript"/>
              </w:rPr>
              <w:t>a</w:t>
            </w:r>
            <w:r w:rsidRPr="00001714">
              <w:rPr>
                <w:rFonts w:ascii="Arial" w:hAnsi="Arial" w:cs="Arial"/>
                <w:sz w:val="20"/>
              </w:rPr>
              <w:t xml:space="preserve"> lb per MMBtu of steam output or 1.6E-02</w:t>
            </w:r>
            <w:r w:rsidRPr="00001714">
              <w:rPr>
                <w:rFonts w:ascii="Arial" w:hAnsi="Arial" w:cs="Arial"/>
                <w:sz w:val="20"/>
                <w:vertAlign w:val="superscript"/>
              </w:rPr>
              <w:t>a</w:t>
            </w:r>
            <w:r w:rsidRPr="00001714">
              <w:rPr>
                <w:rFonts w:ascii="Arial" w:hAnsi="Arial" w:cs="Arial"/>
                <w:sz w:val="20"/>
              </w:rPr>
              <w:t xml:space="preserve"> lb per MWh; or (3.2E-05 lb per MMBtu of steam output or 4.0E-04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3.2E-01 lb per MWh; or (9.4E-04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1.4E-05 lb per MMBtu of steam output or </w:t>
            </w:r>
            <w:r w:rsidRPr="00001714">
              <w:rPr>
                <w:rFonts w:ascii="Arial" w:hAnsi="Arial" w:cs="Arial"/>
                <w:sz w:val="20"/>
              </w:rPr>
              <w:lastRenderedPageBreak/>
              <w:t>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For M29, collect a minimum of 3 dscm per </w:t>
            </w:r>
            <w:r w:rsidRPr="00001714">
              <w:rPr>
                <w:rFonts w:ascii="Arial" w:hAnsi="Arial" w:cs="Arial"/>
                <w:sz w:val="20"/>
              </w:rPr>
              <w:lastRenderedPageBreak/>
              <w:t>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 xml:space="preserve">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w:t>
      </w:r>
      <w:proofErr w:type="gramStart"/>
      <w:r w:rsidRPr="00001714">
        <w:rPr>
          <w:rFonts w:ascii="Arial" w:hAnsi="Arial" w:cs="Arial"/>
          <w:sz w:val="20"/>
        </w:rPr>
        <w:t>testing.</w:t>
      </w:r>
      <w:proofErr w:type="gramEnd"/>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b</w:t>
      </w:r>
      <w:r w:rsidRPr="00001714">
        <w:rPr>
          <w:rFonts w:ascii="Arial" w:hAnsi="Arial" w:cs="Arial"/>
          <w:sz w:val="20"/>
        </w:rPr>
        <w:t>Incorporated</w:t>
      </w:r>
      <w:proofErr w:type="gramEnd"/>
      <w:r w:rsidRPr="00001714">
        <w:rPr>
          <w:rFonts w:ascii="Arial" w:hAnsi="Arial" w:cs="Arial"/>
          <w:sz w:val="20"/>
        </w:rPr>
        <w:t xml:space="preserve"> by reference, see §63.14.</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c</w:t>
      </w:r>
      <w:r w:rsidRPr="00001714">
        <w:rPr>
          <w:rFonts w:ascii="Arial" w:hAnsi="Arial" w:cs="Arial"/>
          <w:sz w:val="20"/>
        </w:rPr>
        <w:t>If</w:t>
      </w:r>
      <w:proofErr w:type="gramEnd"/>
      <w:r w:rsidRPr="00001714">
        <w:rPr>
          <w:rFonts w:ascii="Arial" w:hAnsi="Arial" w:cs="Arial"/>
          <w:sz w:val="20"/>
        </w:rPr>
        <w:t xml:space="preserve"> your affected source is a new or reconstructed affected source that commenced construction or reconstruction after June 4, 2010, and before January 31, 2013, you may comply with the emission limits in Tables 11, 12 or 13 to this subpart until January 31, 2016. On and after January 31, 2016, you must comply with the emission limits in Table 1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7193, Jan. 31, 2013]</w:t>
      </w:r>
    </w:p>
    <w:p w:rsidR="00F0171B" w:rsidRPr="00001714" w:rsidRDefault="0036167B" w:rsidP="00F0171B">
      <w:pPr>
        <w:spacing w:before="200" w:after="100" w:afterAutospacing="1"/>
        <w:rPr>
          <w:rFonts w:ascii="Arial" w:hAnsi="Arial" w:cs="Arial"/>
          <w:sz w:val="20"/>
        </w:rPr>
      </w:pPr>
      <w:hyperlink r:id="rId184" w:anchor="_top" w:history="1">
        <w:r w:rsidR="00F0171B" w:rsidRPr="00001714">
          <w:rPr>
            <w:rFonts w:ascii="Arial" w:hAnsi="Arial" w:cs="Arial"/>
            <w:noProof/>
            <w:color w:val="0000FF"/>
            <w:sz w:val="20"/>
          </w:rPr>
          <w:drawing>
            <wp:inline distT="0" distB="0" distL="0" distR="0">
              <wp:extent cx="152400" cy="152400"/>
              <wp:effectExtent l="0" t="0" r="0" b="0"/>
              <wp:docPr id="50" name="Picture 50"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7" w:name="40:14.0.1.1.1.5.144.28.26"/>
      <w:bookmarkEnd w:id="37"/>
      <w:r w:rsidRPr="00001714">
        <w:rPr>
          <w:rFonts w:ascii="Arial" w:hAnsi="Arial" w:cs="Arial"/>
          <w:b/>
          <w:bCs/>
          <w:sz w:val="20"/>
        </w:rPr>
        <w:t>Table 2 to Subpart DDDDD of Part 63—Emission Limits for Existing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82"/>
        <w:gridCol w:w="1121"/>
        <w:gridCol w:w="2557"/>
        <w:gridCol w:w="2117"/>
        <w:gridCol w:w="2377"/>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w:t>
            </w:r>
            <w:r w:rsidRPr="00001714">
              <w:rPr>
                <w:rFonts w:ascii="Arial" w:hAnsi="Arial" w:cs="Arial"/>
                <w:b/>
                <w:bCs/>
                <w:sz w:val="20"/>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alternative output-based limits, except during startup and</w:t>
            </w:r>
            <w:r w:rsidRPr="00001714">
              <w:rPr>
                <w:rFonts w:ascii="Arial" w:hAnsi="Arial" w:cs="Arial"/>
                <w:b/>
                <w:bCs/>
                <w:sz w:val="20"/>
              </w:rPr>
              <w:br/>
              <w:t>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w:t>
            </w:r>
            <w:r w:rsidRPr="00001714">
              <w:rPr>
                <w:rFonts w:ascii="Arial" w:hAnsi="Arial" w:cs="Arial"/>
                <w:b/>
                <w:bCs/>
                <w:sz w:val="20"/>
              </w:rPr>
              <w:br/>
              <w:t>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0.27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5.7E-06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6.4E-06 lb per MMBtu of steam output or </w:t>
            </w:r>
            <w:r w:rsidRPr="00001714">
              <w:rPr>
                <w:rFonts w:ascii="Arial" w:hAnsi="Arial" w:cs="Arial"/>
                <w:sz w:val="20"/>
              </w:rPr>
              <w:lastRenderedPageBreak/>
              <w:t>7.3E-05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For M29, collect a minimum of 3 dscm per </w:t>
            </w:r>
            <w:r w:rsidRPr="00001714">
              <w:rPr>
                <w:rFonts w:ascii="Arial" w:hAnsi="Arial" w:cs="Arial"/>
                <w:sz w:val="20"/>
              </w:rPr>
              <w:lastRenderedPageBreak/>
              <w:t>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2. Units design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4.0E-02 lb per MMBtu of heat input; or (5.3E-05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4.2E-02 lb per MMBtu of steam output or 4.9E-01 lb per MWh; or (5.6E-05 lb per MMBtu of steam output or 6.5E-04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 3-run average; or (720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b. Filterable PM (or </w:t>
            </w:r>
            <w:r w:rsidRPr="00001714">
              <w:rPr>
                <w:rFonts w:ascii="Arial" w:hAnsi="Arial" w:cs="Arial"/>
                <w:sz w:val="20"/>
              </w:rPr>
              <w:lastRenderedPageBreak/>
              <w:t>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3.7E-02 lb per MMBtu of heat input; or (2.4E-04 lb </w:t>
            </w:r>
            <w:r w:rsidRPr="00001714">
              <w:rPr>
                <w:rFonts w:ascii="Arial" w:hAnsi="Arial" w:cs="Arial"/>
                <w:sz w:val="20"/>
              </w:rPr>
              <w:lastRenderedPageBreak/>
              <w:t>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4.3E-02 lb per MMBtu of steam output or </w:t>
            </w:r>
            <w:r w:rsidRPr="00001714">
              <w:rPr>
                <w:rFonts w:ascii="Arial" w:hAnsi="Arial" w:cs="Arial"/>
                <w:sz w:val="20"/>
              </w:rPr>
              <w:lastRenderedPageBreak/>
              <w:t>5.2E-01 lb per MWh; or (2.8E-04 lb per MMBtu of steam output or 3.4E-04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3.7E-01 lb per MMBtu of steam output or 4.5 lb per MWh; or (4.6E-03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Fluidized bed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470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4.6E-01 lb per MMBtu of steam output or 5.2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1.1E-01 lb per MMBtu of heat input; or (1.2E-03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1.4E-01 lb per MMBtu of steam output or 1.6 lb per MWh; or (1.5E-03 lb per MMBtu of steam output or 1.7E-02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Suspension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5.2E-02 lb per MMBtu of steam output or 7.1E-01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Dutch Ovens/Pile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770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8.4E-01 lb per MMBtu of steam output or 8.4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b. Filterable </w:t>
            </w:r>
            <w:r w:rsidRPr="00001714">
              <w:rPr>
                <w:rFonts w:ascii="Arial" w:hAnsi="Arial" w:cs="Arial"/>
                <w:sz w:val="20"/>
              </w:rPr>
              <w:lastRenderedPageBreak/>
              <w:t>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2.8E-01 lb per MMBtu of </w:t>
            </w:r>
            <w:r w:rsidRPr="00001714">
              <w:rPr>
                <w:rFonts w:ascii="Arial" w:hAnsi="Arial" w:cs="Arial"/>
                <w:sz w:val="20"/>
              </w:rPr>
              <w:lastRenderedPageBreak/>
              <w:t>heat input; or (2.0E-03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3.9E-01 lb per MMBtu </w:t>
            </w:r>
            <w:r w:rsidRPr="00001714">
              <w:rPr>
                <w:rFonts w:ascii="Arial" w:hAnsi="Arial" w:cs="Arial"/>
                <w:sz w:val="20"/>
              </w:rPr>
              <w:lastRenderedPageBreak/>
              <w:t>of steam output or 3.9 lb per MWh; or (2.8E-03 lb per MMBtu of steam output or 2.8E-02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Collect a minimum of 1 </w:t>
            </w:r>
            <w:r w:rsidRPr="00001714">
              <w:rPr>
                <w:rFonts w:ascii="Arial" w:hAnsi="Arial" w:cs="Arial"/>
                <w:sz w:val="20"/>
              </w:rPr>
              <w:lastRenderedPageBreak/>
              <w:t>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12. Fuel cell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 lb per MMBtu of steam output or 12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(5.8E-03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5.5E-02 lb per MMBtu of steam output or 2.8E-01 lb per MWh; or (1.6E-02 lb per MMBtu of steam output or 8.1E-02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Hybrid suspension grate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 lb per MMBtu of steam output or 31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4.4E-01 lb per MMBtu of heat input; or (4.5E-04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5.5E-01 lb per MMBtu of steam output or 6.2 lb per MWh; or (5.7E-04 lb per MMBtu of steam output or 6.3E-03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1.4E-03 lb per MMBtu of steam output or 1.6E-02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2.5E-06 lb per MMBtu of steam output or 2.8E-05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6.2E-02 lb per MMBtu of heat input; or (2.0E-04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7.5E-02 lb per MMBtu of steam output or 8.6E-01 lb per MWh; or </w:t>
            </w:r>
            <w:r w:rsidRPr="00001714">
              <w:rPr>
                <w:rFonts w:ascii="Arial" w:hAnsi="Arial" w:cs="Arial"/>
                <w:sz w:val="20"/>
              </w:rPr>
              <w:lastRenderedPageBreak/>
              <w:t>(2.5E-04 lb per MMBtu of steam output or 2.8E-03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7.9E-03 lb per MMBtu of heat input; or (6.2E-05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9.6E-03 lb per MMBtu of steam output or 1.1E-01 lb per MWh; or (7.5E-05 lb per MMBtu of steam output or 8.6E-04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2.7E-01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3.3E-01 lb per MMBtu of steam output or 3.8 lb per MWh; or (1.1E-03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1.4E-05 lb per MMBtu of steam output or 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 xml:space="preserve">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w:t>
      </w:r>
      <w:r w:rsidRPr="00001714">
        <w:rPr>
          <w:rFonts w:ascii="Arial" w:hAnsi="Arial" w:cs="Arial"/>
          <w:sz w:val="20"/>
        </w:rPr>
        <w:lastRenderedPageBreak/>
        <w:t>your performance tests for this pollutant for at least 2 consecutive years must show that your emissions are at or below 75 percent of this limit in order to qualify for skip testing.</w:t>
      </w:r>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b</w:t>
      </w:r>
      <w:r w:rsidRPr="00001714">
        <w:rPr>
          <w:rFonts w:ascii="Arial" w:hAnsi="Arial" w:cs="Arial"/>
          <w:sz w:val="20"/>
        </w:rPr>
        <w:t>Incorporated</w:t>
      </w:r>
      <w:proofErr w:type="gramEnd"/>
      <w:r w:rsidRPr="00001714">
        <w:rPr>
          <w:rFonts w:ascii="Arial" w:hAnsi="Arial" w:cs="Arial"/>
          <w:sz w:val="20"/>
        </w:rPr>
        <w:t xml:space="preserve">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7195, Jan. 31, 2013]</w:t>
      </w:r>
    </w:p>
    <w:p w:rsidR="00F0171B" w:rsidRPr="00001714" w:rsidRDefault="0036167B" w:rsidP="00F0171B">
      <w:pPr>
        <w:spacing w:before="200" w:after="100" w:afterAutospacing="1"/>
        <w:rPr>
          <w:rFonts w:ascii="Arial" w:hAnsi="Arial" w:cs="Arial"/>
          <w:sz w:val="20"/>
        </w:rPr>
      </w:pPr>
      <w:hyperlink r:id="rId185" w:anchor="_top" w:history="1">
        <w:r w:rsidR="00F0171B" w:rsidRPr="00001714">
          <w:rPr>
            <w:rFonts w:ascii="Arial" w:hAnsi="Arial" w:cs="Arial"/>
            <w:noProof/>
            <w:color w:val="0000FF"/>
            <w:sz w:val="20"/>
          </w:rPr>
          <w:drawing>
            <wp:inline distT="0" distB="0" distL="0" distR="0">
              <wp:extent cx="152400" cy="152400"/>
              <wp:effectExtent l="0" t="0" r="0" b="0"/>
              <wp:docPr id="49" name="Picture 4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8" w:name="40:14.0.1.1.1.5.144.28.27"/>
      <w:bookmarkEnd w:id="38"/>
      <w:r w:rsidRPr="00001714">
        <w:rPr>
          <w:rFonts w:ascii="Arial" w:hAnsi="Arial" w:cs="Arial"/>
          <w:b/>
          <w:bCs/>
          <w:sz w:val="20"/>
        </w:rPr>
        <w:t>Table 3 to Subpart DDDDD of Part 63—Work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00"/>
        <w:gridCol w:w="5254"/>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unit is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meet the following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A new or existing boiler or process heater with a continuous oxygen trim system that maintains an optimum air to fuel ratio, or a heat input capacity of less than or equal to 5 million Btu per hour in any of the following subcategories: unit designed to burn gas 1; unit designed to burn gas 2 (other); or unit designed to burn light liquid, or a limited use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every 5 years as specified in §63.7540.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A new or existing boiler or process heater without a continuous oxygen trim system and with heat input capacity of less than 10 million Btu per hour in the unit designed to burn heavy liquid or unit designed to burn solid fuel subcategories; or a new or existing boiler or process heater with heat input capacity of less than 10 million Btu per hour, but greater than 5 million Btu per hour, in any of the following subcategories: unit designed to burn gas 1; unit designed to burn gas 2 (other); or unit designed to burn light liquid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biennially as specified in §63.7540.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A new or existing boiler or process heater without a continuous oxygen trim system and with heat input capacity of 10 million Btu per hour or greater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annually as specified in §63.7540. Units in either the Gas 1 or Metal Process Furnace subcategories will conduct this tune-up as a work practice for all regulated emissions under this subpart. Units in all other subcategories will conduct this tune-up as a work practice for dioxins/furans.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An existing boiler or process heater located at a major source facility, not including limited use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Must have a one-time energy assessment performed by a qualified energy assessor. An energy assessment completed on or after January 1, 2008, that meets or is amended to meet the energy assessment requirements in this table,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a. A visual inspection of the boiler or process heater </w:t>
            </w:r>
            <w:r w:rsidRPr="00001714">
              <w:rPr>
                <w:rFonts w:ascii="Arial" w:hAnsi="Arial" w:cs="Arial"/>
                <w:sz w:val="20"/>
              </w:rPr>
              <w:lastRenderedPageBreak/>
              <w:t>system.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An evaluation of operating characteristics of the boiler or process heater systems, specifications of energy using systems, operating and maintenance procedures, and unusual operating constraints.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An inventory of major energy use systems consuming energy from affected boilers and process heaters and which are under the control of the boiler/process heater owner/operator.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A review of available architectural and engineering plans, facility operation and maintenance procedures and logs, and fuel usage.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e. A review of the facility's energy management practices and </w:t>
            </w:r>
            <w:proofErr w:type="gramStart"/>
            <w:r w:rsidRPr="00001714">
              <w:rPr>
                <w:rFonts w:ascii="Arial" w:hAnsi="Arial" w:cs="Arial"/>
                <w:sz w:val="20"/>
              </w:rPr>
              <w:t>provide</w:t>
            </w:r>
            <w:proofErr w:type="gramEnd"/>
            <w:r w:rsidRPr="00001714">
              <w:rPr>
                <w:rFonts w:ascii="Arial" w:hAnsi="Arial" w:cs="Arial"/>
                <w:sz w:val="20"/>
              </w:rPr>
              <w:t xml:space="preserve"> recommendations for improvements consistent with the definition of energy management practices, if identified.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A list of cost-effective energy conservation measures that are within the facility's control.</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A list of the energy savings potential of the energy conservation measures identified.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A comprehensive report detailing the ways to improve efficiency, the cost of specific improvements, benefits, and the time frame for recouping those investments.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An existing or new boiler or process heater subject to emission limits in Table 1 or 2 or 11 through 13 to this subpart during startup</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operate all CMS during startup.</w:t>
            </w:r>
            <w:r w:rsidRPr="00001714">
              <w:rPr>
                <w:rFonts w:ascii="Arial" w:hAnsi="Arial" w:cs="Arial"/>
                <w:sz w:val="20"/>
              </w:rPr>
              <w:br/>
              <w:t>For startup of a boiler or process heater, you must use one or a combination of the following clean fuels: natural gas, synthetic natural gas, propane, distillate oil, syngas, ultra-low sulfur diesel, fuel oil-soaked rags, kerosene, hydrogen, paper, cardboard, refinery gas, and liquefied petroleum gas.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If you start firing coal/solid fossil fuel, biomass/bio-based solids, heavy liquid fuel, or gas 2 (other) gases, you must vent emissions to the main stack(s) and engage all of the applicable control devices except limestone injection in fluidized bed combustion (FBC) boilers, dry scrubber, fabric filter, selective non-catalytic reduction (SNCR), and selective catalytic reduction (SCR). You must start your limestone injection in FBC boilers, dry scrubber, fabric filter, SNCR, and SCR systems as expeditiously as possible. Startup ends when steam or heat is supplied for any purpose.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You must comply with all applicable emission limits at all times except for startup or shutdown periods conforming </w:t>
            </w:r>
            <w:proofErr w:type="gramStart"/>
            <w:r w:rsidRPr="00001714">
              <w:rPr>
                <w:rFonts w:ascii="Arial" w:hAnsi="Arial" w:cs="Arial"/>
                <w:sz w:val="20"/>
              </w:rPr>
              <w:t>with</w:t>
            </w:r>
            <w:proofErr w:type="gramEnd"/>
            <w:r w:rsidRPr="00001714">
              <w:rPr>
                <w:rFonts w:ascii="Arial" w:hAnsi="Arial" w:cs="Arial"/>
                <w:sz w:val="20"/>
              </w:rPr>
              <w:t xml:space="preserve"> this work practice. You must collect monitoring data during periods of startup, as specified in §63.7535(b). You must keep records during periods of startup. You must provide reports concerning activities and periods of startup, as specified in §63.7555.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6. An existing or new boiler or process heater subject to emission limits in Tables 1 or 2 or 11 through 13 to this subpart during shutdown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operate all CMS during shutdown.</w:t>
            </w:r>
            <w:r w:rsidRPr="00001714">
              <w:rPr>
                <w:rFonts w:ascii="Arial" w:hAnsi="Arial" w:cs="Arial"/>
                <w:sz w:val="20"/>
              </w:rPr>
              <w:br/>
              <w:t>While firing coal/solid fossil fuel, biomass/bio-based solids, heavy liquid fuel, or gas 2 (other) gases during shutdown, you must vent emissions to the main stack(s) and operate all applicable control devices, except limestone injection in FBC boilers, dry scrubber, fabric filter, SNCR, and SCR.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You must comply with all applicable emissions limits at all times except for startup or shutdown periods conforming </w:t>
            </w:r>
            <w:proofErr w:type="gramStart"/>
            <w:r w:rsidRPr="00001714">
              <w:rPr>
                <w:rFonts w:ascii="Arial" w:hAnsi="Arial" w:cs="Arial"/>
                <w:sz w:val="20"/>
              </w:rPr>
              <w:t>with</w:t>
            </w:r>
            <w:proofErr w:type="gramEnd"/>
            <w:r w:rsidRPr="00001714">
              <w:rPr>
                <w:rFonts w:ascii="Arial" w:hAnsi="Arial" w:cs="Arial"/>
                <w:sz w:val="20"/>
              </w:rPr>
              <w:t xml:space="preserve"> this work practice. You must collect monitoring data during periods of shutdown, as specified in §63.7535(b). You must keep records during periods of shutdown. You must provide reports concerning activities and periods of shutdown, as specified in §63.7555.</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7198, Jan. 31, 2013]</w:t>
      </w:r>
    </w:p>
    <w:p w:rsidR="00F0171B" w:rsidRPr="00001714" w:rsidRDefault="0036167B" w:rsidP="00F0171B">
      <w:pPr>
        <w:spacing w:before="200" w:after="100" w:afterAutospacing="1"/>
        <w:rPr>
          <w:rFonts w:ascii="Arial" w:hAnsi="Arial" w:cs="Arial"/>
          <w:sz w:val="20"/>
        </w:rPr>
      </w:pPr>
      <w:hyperlink r:id="rId186" w:anchor="_top" w:history="1">
        <w:r w:rsidR="00F0171B" w:rsidRPr="00001714">
          <w:rPr>
            <w:rFonts w:ascii="Arial" w:hAnsi="Arial" w:cs="Arial"/>
            <w:noProof/>
            <w:color w:val="0000FF"/>
            <w:sz w:val="20"/>
          </w:rPr>
          <w:drawing>
            <wp:inline distT="0" distB="0" distL="0" distR="0">
              <wp:extent cx="152400" cy="152400"/>
              <wp:effectExtent l="0" t="0" r="0" b="0"/>
              <wp:docPr id="48" name="Picture 48"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9" w:name="40:14.0.1.1.1.5.144.28.28"/>
      <w:bookmarkEnd w:id="39"/>
      <w:r w:rsidRPr="00001714">
        <w:rPr>
          <w:rFonts w:ascii="Arial" w:hAnsi="Arial" w:cs="Arial"/>
          <w:b/>
          <w:bCs/>
          <w:sz w:val="20"/>
        </w:rPr>
        <w:t>Table 4 to Subpart DDDDD of Part 63—Operating Limits for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552"/>
        <w:gridCol w:w="7702"/>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When complying with a Table 1, 2, 11, 12, or 13 numerical emission limit 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meet these operating limits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Wet PM scrubber control on a boiler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30-day rolling average pressure drop and the 30-day rolling average liquid flow rate at or above the lowest one-hour average pressure drop and the lowest one-hour average liquid flow rate, respectively, measured during the most recent performance test demonstrating compliance with the PM emission limitation according to §63.7530(b)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Wet acid gas (HCl) scrubber control on a boiler not using a HCl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30-day rolling average effluent pH at or above the lowest one-hour average pH and the 30-day rolling average liquid flow rate at or above the lowest one-hour average liquid flow rate measured during the most recent performance test demonstrating compliance with the HCl emission limitation according to §63.7530(b)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Fabric filter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Maintain opacity to less than or equal to 10 percent opacity (daily block average); 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Install and operate a bag leak detection system according to §63.7525 and operate the fabric filter such that the bag leak detection system alert is not activated more than 5 percent of the operating time during each 6-month period.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Electrostatic precipitator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This option is for boilers and process heaters that operate dry control systems (i.e., an ESP without a wet scrubber). Existing and new boilers and process heaters must maintain opacity to less than or equal to 10 percent opacity (daily block average); 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b. This option is only for boilers and process heaters not subject to PM CPMS or continuous compliance with an opacity limit (i.e., COMS). Maintain the 30-day rolling average total secondary electric power input of the electrostatic precipitator at or above the operating limits established during the performance test according to </w:t>
            </w:r>
            <w:r w:rsidRPr="00001714">
              <w:rPr>
                <w:rFonts w:ascii="Arial" w:hAnsi="Arial" w:cs="Arial"/>
                <w:sz w:val="20"/>
              </w:rPr>
              <w:lastRenderedPageBreak/>
              <w:t>§63.7530(b)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5. Dry scrubber or carbon injection control on a boiler not using a mercury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minimum sorbent or carbon injection rate as defined in §63.7575 of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Any other add-on air pollution control type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This option is for boilers and process heaters that operate dry control systems. Existing and new boilers and process heaters must maintain opacity to less than or equal to 10 percent opacity (daily block average).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fuel type or fuel mixture such that the applicable emission rates calculated according to §63.7530(c</w:t>
            </w:r>
            <w:proofErr w:type="gramStart"/>
            <w:r w:rsidRPr="00001714">
              <w:rPr>
                <w:rFonts w:ascii="Arial" w:hAnsi="Arial" w:cs="Arial"/>
                <w:sz w:val="20"/>
              </w:rPr>
              <w:t>)(</w:t>
            </w:r>
            <w:proofErr w:type="gramEnd"/>
            <w:r w:rsidRPr="00001714">
              <w:rPr>
                <w:rFonts w:ascii="Arial" w:hAnsi="Arial" w:cs="Arial"/>
                <w:sz w:val="20"/>
              </w:rPr>
              <w:t>1), (2) and/or (3) is less than the applicable emission limits.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Performance testing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and process heaters that demonstrate compliance with a performance test, maintain the operating load of each unit such that it does not exceed 110 percent of the highest hourly average operating load recorded during the most recent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Oxygen analyzer system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and process heaters subject to a CO emission limit that demonstrate compliance with an O</w:t>
            </w:r>
            <w:r w:rsidRPr="00001714">
              <w:rPr>
                <w:rFonts w:ascii="Arial" w:hAnsi="Arial" w:cs="Arial"/>
                <w:sz w:val="20"/>
                <w:vertAlign w:val="subscript"/>
              </w:rPr>
              <w:t>2</w:t>
            </w:r>
            <w:r w:rsidRPr="00001714">
              <w:rPr>
                <w:rFonts w:ascii="Arial" w:hAnsi="Arial" w:cs="Arial"/>
                <w:sz w:val="20"/>
              </w:rPr>
              <w:t xml:space="preserve"> analyzer system as specified in §63.7525(a), maintain the 30-day rolling average oxygen content at or above the lowest hourly average oxygen concentration measured during the most recent CO performance test, as specified in Table 8. This requirement does not apply to units that install an oxygen trim system since these units will set the trim system to the level specified in §63.7525(a).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SO</w:t>
            </w:r>
            <w:r w:rsidRPr="00001714">
              <w:rPr>
                <w:rFonts w:ascii="Arial" w:hAnsi="Arial" w:cs="Arial"/>
                <w:sz w:val="20"/>
                <w:vertAlign w:val="subscript"/>
              </w:rPr>
              <w:t>2</w:t>
            </w:r>
            <w:r w:rsidRPr="00001714">
              <w:rPr>
                <w:rFonts w:ascii="Arial" w:hAnsi="Arial" w:cs="Arial"/>
                <w:sz w:val="20"/>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or process heaters subject to an HCl emission limit that demonstrate compliance with an SO</w:t>
            </w:r>
            <w:r w:rsidRPr="00001714">
              <w:rPr>
                <w:rFonts w:ascii="Arial" w:hAnsi="Arial" w:cs="Arial"/>
                <w:sz w:val="20"/>
                <w:vertAlign w:val="subscript"/>
              </w:rPr>
              <w:t>2</w:t>
            </w:r>
            <w:r w:rsidRPr="00001714">
              <w:rPr>
                <w:rFonts w:ascii="Arial" w:hAnsi="Arial" w:cs="Arial"/>
                <w:sz w:val="20"/>
              </w:rPr>
              <w:t xml:space="preserve"> CEMS, maintain the 30-day rolling average SO</w:t>
            </w:r>
            <w:r w:rsidRPr="00001714">
              <w:rPr>
                <w:rFonts w:ascii="Arial" w:hAnsi="Arial" w:cs="Arial"/>
                <w:sz w:val="20"/>
                <w:vertAlign w:val="subscript"/>
              </w:rPr>
              <w:t>2</w:t>
            </w:r>
            <w:r w:rsidRPr="00001714">
              <w:rPr>
                <w:rFonts w:ascii="Arial" w:hAnsi="Arial" w:cs="Arial"/>
                <w:sz w:val="20"/>
              </w:rPr>
              <w:t xml:space="preserve"> emission rate at or below the highest hourly average SO</w:t>
            </w:r>
            <w:r w:rsidRPr="00001714">
              <w:rPr>
                <w:rFonts w:ascii="Arial" w:hAnsi="Arial" w:cs="Arial"/>
                <w:sz w:val="20"/>
                <w:vertAlign w:val="subscript"/>
              </w:rPr>
              <w:t>2</w:t>
            </w:r>
            <w:r w:rsidRPr="00001714">
              <w:rPr>
                <w:rFonts w:ascii="Arial" w:hAnsi="Arial" w:cs="Arial"/>
                <w:sz w:val="20"/>
              </w:rPr>
              <w:t xml:space="preserve"> concentration measured during the most recent HCl performance test, as specified in Table 8.</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7199, Jan. 31, 2013]</w:t>
      </w:r>
    </w:p>
    <w:p w:rsidR="00F0171B" w:rsidRPr="00001714" w:rsidRDefault="0036167B" w:rsidP="00F0171B">
      <w:pPr>
        <w:spacing w:before="200" w:after="100" w:afterAutospacing="1"/>
        <w:rPr>
          <w:rFonts w:ascii="Arial" w:hAnsi="Arial" w:cs="Arial"/>
          <w:sz w:val="20"/>
        </w:rPr>
      </w:pPr>
      <w:hyperlink r:id="rId187" w:anchor="_top" w:history="1">
        <w:r w:rsidR="00F0171B" w:rsidRPr="00001714">
          <w:rPr>
            <w:rFonts w:ascii="Arial" w:hAnsi="Arial" w:cs="Arial"/>
            <w:noProof/>
            <w:color w:val="0000FF"/>
            <w:sz w:val="20"/>
          </w:rPr>
          <w:drawing>
            <wp:inline distT="0" distB="0" distL="0" distR="0">
              <wp:extent cx="152400" cy="152400"/>
              <wp:effectExtent l="0" t="0" r="0" b="0"/>
              <wp:docPr id="47" name="Picture 4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0" w:name="40:14.0.1.1.1.5.144.28.29"/>
      <w:bookmarkEnd w:id="40"/>
      <w:r w:rsidRPr="00001714">
        <w:rPr>
          <w:rFonts w:ascii="Arial" w:hAnsi="Arial" w:cs="Arial"/>
          <w:b/>
          <w:bCs/>
          <w:sz w:val="20"/>
        </w:rPr>
        <w:t>Table 5 to Subpart DDDDD of Part 63—Performance Testing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§63.7520, you must comply with the following requirements for performance testing for existing, new or reconstructed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07"/>
        <w:gridCol w:w="2573"/>
        <w:gridCol w:w="5274"/>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 conduct a performance test for the following pollutant...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Filterable PM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to part 60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A-2 to part 60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PM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5 or 17 (positive pressure fabric filters must use Method 5D) at 40 CFR part 60, appendix A-3 or A-6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A-1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TSM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at 40 CFR part 60, appendix A-8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A-2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hydrogen chloride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26 or 26A (M26 or M26A) at 40 CFR part 60, appendix A-8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a. Select sampling ports location and the number of </w:t>
            </w:r>
            <w:r w:rsidRPr="00001714">
              <w:rPr>
                <w:rFonts w:ascii="Arial" w:hAnsi="Arial" w:cs="Arial"/>
                <w:sz w:val="20"/>
              </w:rPr>
              <w:lastRenderedPageBreak/>
              <w:t>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A-1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mercury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30A, or 30B (M29, M30A, or M30B) at 40 CFR part 60, appendix A-8 of this chapter or Method 101A at 40 CFR part 61, appendix B of this chapter, or ASTM Method D6784.</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the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oxygen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A-3 of this chapter, or ASTM D6522-00 (Reapproved 2005),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CO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10 at 40 CFR part 60, appendix A-4 of this chapter. Use a measurement span value of 2 times the concentration of the applicable emission limit.</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7200, Jan. 31, 2013]</w:t>
      </w:r>
    </w:p>
    <w:p w:rsidR="00F0171B" w:rsidRPr="00001714" w:rsidRDefault="0036167B" w:rsidP="00F0171B">
      <w:pPr>
        <w:spacing w:before="200" w:after="100" w:afterAutospacing="1"/>
        <w:rPr>
          <w:rFonts w:ascii="Arial" w:hAnsi="Arial" w:cs="Arial"/>
          <w:sz w:val="20"/>
        </w:rPr>
      </w:pPr>
      <w:hyperlink r:id="rId188" w:anchor="_top" w:history="1">
        <w:r w:rsidR="00F0171B" w:rsidRPr="00001714">
          <w:rPr>
            <w:rFonts w:ascii="Arial" w:hAnsi="Arial" w:cs="Arial"/>
            <w:noProof/>
            <w:color w:val="0000FF"/>
            <w:sz w:val="20"/>
          </w:rPr>
          <w:drawing>
            <wp:inline distT="0" distB="0" distL="0" distR="0">
              <wp:extent cx="152400" cy="152400"/>
              <wp:effectExtent l="0" t="0" r="0" b="0"/>
              <wp:docPr id="46" name="Picture 46"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1" w:name="40:14.0.1.1.1.5.144.28.30"/>
      <w:bookmarkEnd w:id="41"/>
      <w:r w:rsidRPr="00001714">
        <w:rPr>
          <w:rFonts w:ascii="Arial" w:hAnsi="Arial" w:cs="Arial"/>
          <w:b/>
          <w:bCs/>
          <w:sz w:val="20"/>
        </w:rPr>
        <w:t>Table 6 to Subpart DDDDD of Part 63—Fuel Analysis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§63.7521, you must comply with the following requirements for fuel analysis testing for existing, new or reconstructed affected sources. However, equivalent methods (as defined in §63.7575) may be used in lieu of the prescribed methods at the discretion of the source owner or operator: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28"/>
        <w:gridCol w:w="2904"/>
        <w:gridCol w:w="5522"/>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 conduct a fuel analysis for the following pollutant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w:t>
            </w:r>
            <w:proofErr w:type="gramStart"/>
            <w:r w:rsidRPr="00001714">
              <w:rPr>
                <w:rFonts w:ascii="Arial" w:hAnsi="Arial" w:cs="Arial"/>
                <w:sz w:val="20"/>
              </w:rPr>
              <w:t>D2234M</w:t>
            </w:r>
            <w:r w:rsidRPr="00001714">
              <w:rPr>
                <w:rFonts w:ascii="Arial" w:hAnsi="Arial" w:cs="Arial"/>
                <w:sz w:val="20"/>
                <w:vertAlign w:val="superscript"/>
              </w:rPr>
              <w:t>a</w:t>
            </w:r>
            <w:r w:rsidRPr="00001714">
              <w:rPr>
                <w:rFonts w:ascii="Arial" w:hAnsi="Arial" w:cs="Arial"/>
                <w:sz w:val="20"/>
              </w:rPr>
              <w:t>(</w:t>
            </w:r>
            <w:proofErr w:type="gramEnd"/>
            <w:r w:rsidRPr="00001714">
              <w:rPr>
                <w:rFonts w:ascii="Arial" w:hAnsi="Arial" w:cs="Arial"/>
                <w:sz w:val="20"/>
              </w:rPr>
              <w:t>for coal) or EPA 1631 or EPA 1631E or ASTM D6323</w:t>
            </w:r>
            <w:r w:rsidRPr="00001714">
              <w:rPr>
                <w:rFonts w:ascii="Arial" w:hAnsi="Arial" w:cs="Arial"/>
                <w:sz w:val="20"/>
                <w:vertAlign w:val="superscript"/>
              </w:rPr>
              <w:t>a</w:t>
            </w:r>
            <w:r w:rsidRPr="00001714">
              <w:rPr>
                <w:rFonts w:ascii="Arial" w:hAnsi="Arial" w:cs="Arial"/>
                <w:sz w:val="20"/>
              </w:rPr>
              <w:t xml:space="preserve"> (for solid), or EPA 821-R-01-013 (for liquid or solid), or ASTM D4177</w:t>
            </w:r>
            <w:r w:rsidRPr="00001714">
              <w:rPr>
                <w:rFonts w:ascii="Arial" w:hAnsi="Arial" w:cs="Arial"/>
                <w:sz w:val="20"/>
                <w:vertAlign w:val="superscript"/>
              </w:rPr>
              <w:t>a</w:t>
            </w:r>
            <w:r w:rsidRPr="00001714">
              <w:rPr>
                <w:rFonts w:ascii="Arial" w:hAnsi="Arial" w:cs="Arial"/>
                <w:sz w:val="20"/>
              </w:rPr>
              <w:t xml:space="preserve"> (for liquid), or </w:t>
            </w:r>
            <w:r w:rsidRPr="00001714">
              <w:rPr>
                <w:rFonts w:ascii="Arial" w:hAnsi="Arial" w:cs="Arial"/>
                <w:sz w:val="20"/>
              </w:rPr>
              <w:lastRenderedPageBreak/>
              <w:t>ASTM D4057</w:t>
            </w:r>
            <w:r w:rsidRPr="00001714">
              <w:rPr>
                <w:rFonts w:ascii="Arial" w:hAnsi="Arial" w:cs="Arial"/>
                <w:sz w:val="20"/>
                <w:vertAlign w:val="superscript"/>
              </w:rPr>
              <w:t>a</w:t>
            </w:r>
            <w:r w:rsidRPr="00001714">
              <w:rPr>
                <w:rFonts w:ascii="Arial" w:hAnsi="Arial" w:cs="Arial"/>
                <w:sz w:val="20"/>
              </w:rPr>
              <w:t xml:space="preserve"> (for liquid),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ASTM D5198</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(for solid fuel), or EPA 821-R-01-013</w:t>
            </w:r>
            <w:r w:rsidRPr="00001714">
              <w:rPr>
                <w:rFonts w:ascii="Arial" w:hAnsi="Arial" w:cs="Arial"/>
                <w:sz w:val="20"/>
                <w:vertAlign w:val="superscript"/>
              </w:rPr>
              <w:t>a</w:t>
            </w:r>
            <w:r w:rsidRPr="00001714">
              <w:rPr>
                <w:rFonts w:ascii="Arial" w:hAnsi="Arial" w:cs="Arial"/>
                <w:sz w:val="20"/>
              </w:rPr>
              <w:t xml:space="preserve"> (for liquid or solid),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or ASTM D5864</w:t>
            </w:r>
            <w:r w:rsidRPr="00001714">
              <w:rPr>
                <w:rFonts w:ascii="Arial" w:hAnsi="Arial" w:cs="Arial"/>
                <w:sz w:val="20"/>
                <w:vertAlign w:val="superscript"/>
              </w:rPr>
              <w:t>a</w:t>
            </w:r>
            <w:r w:rsidRPr="00001714">
              <w:rPr>
                <w:rFonts w:ascii="Arial" w:hAnsi="Arial" w:cs="Arial"/>
                <w:sz w:val="20"/>
              </w:rPr>
              <w:t xml:space="preserve"> for liquids and other solids, or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ASTM E871</w:t>
            </w:r>
            <w:r w:rsidRPr="00001714">
              <w:rPr>
                <w:rFonts w:ascii="Arial" w:hAnsi="Arial" w:cs="Arial"/>
                <w:sz w:val="20"/>
                <w:vertAlign w:val="superscript"/>
              </w:rPr>
              <w:t>a</w:t>
            </w:r>
            <w:r w:rsidRPr="00001714">
              <w:rPr>
                <w:rFonts w:ascii="Arial" w:hAnsi="Arial" w:cs="Arial"/>
                <w:sz w:val="20"/>
              </w:rPr>
              <w:t>, or ASTM D5864</w:t>
            </w:r>
            <w:r w:rsidRPr="00001714">
              <w:rPr>
                <w:rFonts w:ascii="Arial" w:hAnsi="Arial" w:cs="Arial"/>
                <w:sz w:val="20"/>
                <w:vertAlign w:val="superscript"/>
              </w:rPr>
              <w:t>a</w:t>
            </w:r>
            <w:r w:rsidRPr="00001714">
              <w:rPr>
                <w:rFonts w:ascii="Arial" w:hAnsi="Arial" w:cs="Arial"/>
                <w:sz w:val="20"/>
              </w:rPr>
              <w:t>, or ASTM D240,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mercury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D6722</w:t>
            </w:r>
            <w:r w:rsidRPr="00001714">
              <w:rPr>
                <w:rFonts w:ascii="Arial" w:hAnsi="Arial" w:cs="Arial"/>
                <w:sz w:val="20"/>
                <w:vertAlign w:val="superscript"/>
              </w:rPr>
              <w:t>a</w:t>
            </w:r>
            <w:r w:rsidRPr="00001714">
              <w:rPr>
                <w:rFonts w:ascii="Arial" w:hAnsi="Arial" w:cs="Arial"/>
                <w:sz w:val="20"/>
              </w:rPr>
              <w:t xml:space="preserve"> (for coal), EPA SW-846-7471B</w:t>
            </w:r>
            <w:r w:rsidRPr="00001714">
              <w:rPr>
                <w:rFonts w:ascii="Arial" w:hAnsi="Arial" w:cs="Arial"/>
                <w:sz w:val="20"/>
                <w:vertAlign w:val="superscript"/>
              </w:rPr>
              <w:t>a</w:t>
            </w:r>
            <w:r w:rsidRPr="00001714">
              <w:rPr>
                <w:rFonts w:ascii="Arial" w:hAnsi="Arial" w:cs="Arial"/>
                <w:sz w:val="20"/>
              </w:rPr>
              <w:t xml:space="preserve"> (for solid samples), or EPA SW-846-7470A</w:t>
            </w:r>
            <w:r w:rsidRPr="00001714">
              <w:rPr>
                <w:rFonts w:ascii="Arial" w:hAnsi="Arial" w:cs="Arial"/>
                <w:sz w:val="20"/>
                <w:vertAlign w:val="superscript"/>
              </w:rPr>
              <w:t>a</w:t>
            </w:r>
            <w:r w:rsidRPr="00001714">
              <w:rPr>
                <w:rFonts w:ascii="Arial" w:hAnsi="Arial" w:cs="Arial"/>
                <w:sz w:val="20"/>
              </w:rPr>
              <w:t xml:space="preserve"> (for liquid samples),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 into units of pounds of mercury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8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mercury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12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D2234/D2234M</w:t>
            </w:r>
            <w:r w:rsidRPr="00001714">
              <w:rPr>
                <w:rFonts w:ascii="Arial" w:hAnsi="Arial" w:cs="Arial"/>
                <w:sz w:val="20"/>
                <w:vertAlign w:val="superscript"/>
              </w:rPr>
              <w:t>a</w:t>
            </w:r>
            <w:r w:rsidRPr="00001714">
              <w:rPr>
                <w:rFonts w:ascii="Arial" w:hAnsi="Arial" w:cs="Arial"/>
                <w:sz w:val="20"/>
              </w:rPr>
              <w:t xml:space="preserve"> (for coal) or ASTM D6323</w:t>
            </w:r>
            <w:r w:rsidRPr="00001714">
              <w:rPr>
                <w:rFonts w:ascii="Arial" w:hAnsi="Arial" w:cs="Arial"/>
                <w:sz w:val="20"/>
                <w:vertAlign w:val="superscript"/>
              </w:rPr>
              <w:t>a</w:t>
            </w:r>
            <w:r w:rsidRPr="00001714">
              <w:rPr>
                <w:rFonts w:ascii="Arial" w:hAnsi="Arial" w:cs="Arial"/>
                <w:sz w:val="20"/>
              </w:rPr>
              <w:t xml:space="preserve"> (for coal or biomass),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or ASTM D5198§</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ASTM D5864,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xml:space="preserve"> or ASTM E871</w:t>
            </w:r>
            <w:r w:rsidRPr="00001714">
              <w:rPr>
                <w:rFonts w:ascii="Arial" w:hAnsi="Arial" w:cs="Arial"/>
                <w:sz w:val="20"/>
                <w:vertAlign w:val="superscript"/>
              </w:rPr>
              <w:t>a</w:t>
            </w:r>
            <w:r w:rsidRPr="00001714">
              <w:rPr>
                <w:rFonts w:ascii="Arial" w:hAnsi="Arial" w:cs="Arial"/>
                <w:sz w:val="20"/>
              </w:rPr>
              <w:t>, or D5864</w:t>
            </w:r>
            <w:r w:rsidRPr="00001714">
              <w:rPr>
                <w:rFonts w:ascii="Arial" w:hAnsi="Arial" w:cs="Arial"/>
                <w:sz w:val="20"/>
                <w:vertAlign w:val="superscript"/>
              </w:rPr>
              <w:t>a</w:t>
            </w:r>
            <w:r w:rsidRPr="00001714">
              <w:rPr>
                <w:rFonts w:ascii="Arial" w:hAnsi="Arial" w:cs="Arial"/>
                <w:sz w:val="20"/>
              </w:rPr>
              <w:t>, or ASTM D240</w:t>
            </w:r>
            <w:r w:rsidRPr="00001714">
              <w:rPr>
                <w:rFonts w:ascii="Arial" w:hAnsi="Arial" w:cs="Arial"/>
                <w:sz w:val="20"/>
                <w:vertAlign w:val="superscript"/>
              </w:rPr>
              <w:t>a</w:t>
            </w:r>
            <w:r w:rsidRPr="00001714">
              <w:rPr>
                <w:rFonts w:ascii="Arial" w:hAnsi="Arial" w:cs="Arial"/>
                <w:sz w:val="20"/>
              </w:rPr>
              <w:t>,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chlorine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SW-846-9250</w:t>
            </w:r>
            <w:r w:rsidRPr="00001714">
              <w:rPr>
                <w:rFonts w:ascii="Arial" w:hAnsi="Arial" w:cs="Arial"/>
                <w:sz w:val="20"/>
                <w:vertAlign w:val="superscript"/>
              </w:rPr>
              <w:t>a</w:t>
            </w:r>
            <w:r w:rsidRPr="00001714">
              <w:rPr>
                <w:rFonts w:ascii="Arial" w:hAnsi="Arial" w:cs="Arial"/>
                <w:sz w:val="20"/>
              </w:rPr>
              <w:t>, ASTM D6721</w:t>
            </w:r>
            <w:r w:rsidRPr="00001714">
              <w:rPr>
                <w:rFonts w:ascii="Arial" w:hAnsi="Arial" w:cs="Arial"/>
                <w:sz w:val="20"/>
                <w:vertAlign w:val="superscript"/>
              </w:rPr>
              <w:t>a</w:t>
            </w:r>
            <w:r w:rsidRPr="00001714">
              <w:rPr>
                <w:rFonts w:ascii="Arial" w:hAnsi="Arial" w:cs="Arial"/>
                <w:sz w:val="20"/>
              </w:rPr>
              <w:t>, ASTM D4208</w:t>
            </w:r>
            <w:r w:rsidRPr="00001714">
              <w:rPr>
                <w:rFonts w:ascii="Arial" w:hAnsi="Arial" w:cs="Arial"/>
                <w:sz w:val="20"/>
                <w:vertAlign w:val="superscript"/>
              </w:rPr>
              <w:t>a</w:t>
            </w:r>
            <w:r w:rsidRPr="00001714">
              <w:rPr>
                <w:rFonts w:ascii="Arial" w:hAnsi="Arial" w:cs="Arial"/>
                <w:sz w:val="20"/>
              </w:rPr>
              <w:t xml:space="preserve"> (for coal), or EPA SW-846-5050</w:t>
            </w:r>
            <w:r w:rsidRPr="00001714">
              <w:rPr>
                <w:rFonts w:ascii="Arial" w:hAnsi="Arial" w:cs="Arial"/>
                <w:sz w:val="20"/>
                <w:vertAlign w:val="superscript"/>
              </w:rPr>
              <w:t>a</w:t>
            </w:r>
            <w:r w:rsidRPr="00001714">
              <w:rPr>
                <w:rFonts w:ascii="Arial" w:hAnsi="Arial" w:cs="Arial"/>
                <w:sz w:val="20"/>
              </w:rPr>
              <w:t xml:space="preserve"> or ASTM E776</w:t>
            </w:r>
            <w:r w:rsidRPr="00001714">
              <w:rPr>
                <w:rFonts w:ascii="Arial" w:hAnsi="Arial" w:cs="Arial"/>
                <w:sz w:val="20"/>
                <w:vertAlign w:val="superscript"/>
              </w:rPr>
              <w:t>a</w:t>
            </w:r>
            <w:r w:rsidRPr="00001714">
              <w:rPr>
                <w:rFonts w:ascii="Arial" w:hAnsi="Arial" w:cs="Arial"/>
                <w:sz w:val="20"/>
              </w:rPr>
              <w:t xml:space="preserve"> (for solid fuel), or EPA SW-846-9056</w:t>
            </w:r>
            <w:r w:rsidRPr="00001714">
              <w:rPr>
                <w:rFonts w:ascii="Arial" w:hAnsi="Arial" w:cs="Arial"/>
                <w:sz w:val="20"/>
                <w:vertAlign w:val="superscript"/>
              </w:rPr>
              <w:t>a</w:t>
            </w:r>
            <w:r w:rsidRPr="00001714">
              <w:rPr>
                <w:rFonts w:ascii="Arial" w:hAnsi="Arial" w:cs="Arial"/>
                <w:sz w:val="20"/>
              </w:rPr>
              <w:t xml:space="preserve"> or SW-846-9076</w:t>
            </w:r>
            <w:r w:rsidRPr="00001714">
              <w:rPr>
                <w:rFonts w:ascii="Arial" w:hAnsi="Arial" w:cs="Arial"/>
                <w:sz w:val="20"/>
                <w:vertAlign w:val="superscript"/>
              </w:rPr>
              <w:t>a</w:t>
            </w:r>
            <w:r w:rsidRPr="00001714">
              <w:rPr>
                <w:rFonts w:ascii="Arial" w:hAnsi="Arial" w:cs="Arial"/>
                <w:sz w:val="20"/>
              </w:rPr>
              <w:t xml:space="preserve"> (for solids or liquids)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concentrations into units of pounds of HCl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7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HCl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11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Mercury Fuel Specification for other gas 1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Measure mercury concentration in the fuel sample and convert to units of micrograms per cubic meter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30B (M30B) at 40 CFR part 60, appendix A-8 of this chapter or ASTM D5954</w:t>
            </w:r>
            <w:r w:rsidRPr="00001714">
              <w:rPr>
                <w:rFonts w:ascii="Arial" w:hAnsi="Arial" w:cs="Arial"/>
                <w:sz w:val="20"/>
                <w:vertAlign w:val="superscript"/>
              </w:rPr>
              <w:t>a</w:t>
            </w:r>
            <w:r w:rsidRPr="00001714">
              <w:rPr>
                <w:rFonts w:ascii="Arial" w:hAnsi="Arial" w:cs="Arial"/>
                <w:sz w:val="20"/>
              </w:rPr>
              <w:t>, ASTM D6350</w:t>
            </w:r>
            <w:r w:rsidRPr="00001714">
              <w:rPr>
                <w:rFonts w:ascii="Arial" w:hAnsi="Arial" w:cs="Arial"/>
                <w:sz w:val="20"/>
                <w:vertAlign w:val="superscript"/>
              </w:rPr>
              <w:t>a</w:t>
            </w:r>
            <w:r w:rsidRPr="00001714">
              <w:rPr>
                <w:rFonts w:ascii="Arial" w:hAnsi="Arial" w:cs="Arial"/>
                <w:sz w:val="20"/>
              </w:rPr>
              <w:t>, ISO 6978-1:2003(E)</w:t>
            </w:r>
            <w:r w:rsidRPr="00001714">
              <w:rPr>
                <w:rFonts w:ascii="Arial" w:hAnsi="Arial" w:cs="Arial"/>
                <w:sz w:val="20"/>
                <w:vertAlign w:val="superscript"/>
              </w:rPr>
              <w:t>a</w:t>
            </w:r>
            <w:r w:rsidRPr="00001714">
              <w:rPr>
                <w:rFonts w:ascii="Arial" w:hAnsi="Arial" w:cs="Arial"/>
                <w:sz w:val="20"/>
              </w:rPr>
              <w:t>, or ISO 6978-2:2003(E)</w:t>
            </w:r>
            <w:r w:rsidRPr="00001714">
              <w:rPr>
                <w:rFonts w:ascii="Arial" w:hAnsi="Arial" w:cs="Arial"/>
                <w:sz w:val="20"/>
                <w:vertAlign w:val="superscript"/>
              </w:rPr>
              <w:t>a</w:t>
            </w:r>
            <w:r w:rsidRPr="00001714">
              <w:rPr>
                <w:rFonts w:ascii="Arial" w:hAnsi="Arial" w:cs="Arial"/>
                <w:sz w:val="20"/>
              </w:rPr>
              <w:t>, or EPA-1631</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Measure mercury concentration in the exhaust gas when firing only the other gas 1 fuel is fired in the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30A, or 30B (M29, M30A, or M30B) at 40 CFR part 60, appendix A-8 of this chapter or Method 101A or Method 102 at 40 CFR part 61, appendix B of this chapter, or ASTM Method D6784</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TSM for solid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D2234/D2234M</w:t>
            </w:r>
            <w:r w:rsidRPr="00001714">
              <w:rPr>
                <w:rFonts w:ascii="Arial" w:hAnsi="Arial" w:cs="Arial"/>
                <w:sz w:val="20"/>
                <w:vertAlign w:val="superscript"/>
              </w:rPr>
              <w:t>a</w:t>
            </w:r>
            <w:r w:rsidRPr="00001714">
              <w:rPr>
                <w:rFonts w:ascii="Arial" w:hAnsi="Arial" w:cs="Arial"/>
                <w:sz w:val="20"/>
              </w:rPr>
              <w:t xml:space="preserve"> (for coal) or ASTM D6323</w:t>
            </w:r>
            <w:r w:rsidRPr="00001714">
              <w:rPr>
                <w:rFonts w:ascii="Arial" w:hAnsi="Arial" w:cs="Arial"/>
                <w:sz w:val="20"/>
                <w:vertAlign w:val="superscript"/>
              </w:rPr>
              <w:t>a</w:t>
            </w:r>
            <w:r w:rsidRPr="00001714">
              <w:rPr>
                <w:rFonts w:ascii="Arial" w:hAnsi="Arial" w:cs="Arial"/>
                <w:sz w:val="20"/>
              </w:rPr>
              <w:t xml:space="preserve"> (for coal or biomass), or ASTM D4177</w:t>
            </w:r>
            <w:r w:rsidRPr="00001714">
              <w:rPr>
                <w:rFonts w:ascii="Arial" w:hAnsi="Arial" w:cs="Arial"/>
                <w:sz w:val="20"/>
                <w:vertAlign w:val="superscript"/>
              </w:rPr>
              <w:t>a</w:t>
            </w:r>
            <w:proofErr w:type="gramStart"/>
            <w:r w:rsidRPr="00001714">
              <w:rPr>
                <w:rFonts w:ascii="Arial" w:hAnsi="Arial" w:cs="Arial"/>
                <w:sz w:val="20"/>
              </w:rPr>
              <w:t>,(</w:t>
            </w:r>
            <w:proofErr w:type="gramEnd"/>
            <w:r w:rsidRPr="00001714">
              <w:rPr>
                <w:rFonts w:ascii="Arial" w:hAnsi="Arial" w:cs="Arial"/>
                <w:sz w:val="20"/>
              </w:rPr>
              <w:t>for liquid fuels)or ASTM D4057</w:t>
            </w:r>
            <w:r w:rsidRPr="00001714">
              <w:rPr>
                <w:rFonts w:ascii="Arial" w:hAnsi="Arial" w:cs="Arial"/>
                <w:sz w:val="20"/>
                <w:vertAlign w:val="superscript"/>
              </w:rPr>
              <w:t>a</w:t>
            </w:r>
            <w:r w:rsidRPr="00001714">
              <w:rPr>
                <w:rFonts w:ascii="Arial" w:hAnsi="Arial" w:cs="Arial"/>
                <w:sz w:val="20"/>
              </w:rPr>
              <w:t xml:space="preserve"> (for liquid fuels),or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ASTM D5198</w:t>
            </w:r>
            <w:r w:rsidRPr="00001714">
              <w:rPr>
                <w:rFonts w:ascii="Arial" w:hAnsi="Arial" w:cs="Arial"/>
                <w:sz w:val="20"/>
                <w:vertAlign w:val="superscript"/>
              </w:rPr>
              <w:t>a</w:t>
            </w:r>
            <w:r w:rsidRPr="00001714">
              <w:rPr>
                <w:rFonts w:ascii="Arial" w:hAnsi="Arial" w:cs="Arial"/>
                <w:sz w:val="20"/>
              </w:rPr>
              <w:t xml:space="preserve"> or TAPPI T266</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or ASTM D5864</w:t>
            </w:r>
            <w:r w:rsidRPr="00001714">
              <w:rPr>
                <w:rFonts w:ascii="Arial" w:hAnsi="Arial" w:cs="Arial"/>
                <w:sz w:val="20"/>
                <w:vertAlign w:val="superscript"/>
              </w:rPr>
              <w:t>a</w:t>
            </w:r>
            <w:r w:rsidRPr="00001714">
              <w:rPr>
                <w:rFonts w:ascii="Arial" w:hAnsi="Arial" w:cs="Arial"/>
                <w:sz w:val="20"/>
              </w:rPr>
              <w:t xml:space="preserve"> for liquids and other solids, or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xml:space="preserve"> or ASTM E871</w:t>
            </w:r>
            <w:r w:rsidRPr="00001714">
              <w:rPr>
                <w:rFonts w:ascii="Arial" w:hAnsi="Arial" w:cs="Arial"/>
                <w:sz w:val="20"/>
                <w:vertAlign w:val="superscript"/>
              </w:rPr>
              <w:t>a</w:t>
            </w:r>
            <w:r w:rsidRPr="00001714">
              <w:rPr>
                <w:rFonts w:ascii="Arial" w:hAnsi="Arial" w:cs="Arial"/>
                <w:sz w:val="20"/>
              </w:rPr>
              <w:t>, or D5864, or ASTM D240</w:t>
            </w:r>
            <w:r w:rsidRPr="00001714">
              <w:rPr>
                <w:rFonts w:ascii="Arial" w:hAnsi="Arial" w:cs="Arial"/>
                <w:sz w:val="20"/>
                <w:vertAlign w:val="superscript"/>
              </w:rPr>
              <w:t>a</w:t>
            </w:r>
            <w:r w:rsidRPr="00001714">
              <w:rPr>
                <w:rFonts w:ascii="Arial" w:hAnsi="Arial" w:cs="Arial"/>
                <w:sz w:val="20"/>
              </w:rPr>
              <w:t>,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TSM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D3683</w:t>
            </w:r>
            <w:r w:rsidRPr="00001714">
              <w:rPr>
                <w:rFonts w:ascii="Arial" w:hAnsi="Arial" w:cs="Arial"/>
                <w:sz w:val="20"/>
                <w:vertAlign w:val="superscript"/>
              </w:rPr>
              <w:t>a</w:t>
            </w:r>
            <w:r w:rsidRPr="00001714">
              <w:rPr>
                <w:rFonts w:ascii="Arial" w:hAnsi="Arial" w:cs="Arial"/>
                <w:sz w:val="20"/>
              </w:rPr>
              <w:t>, or ASTM D4606</w:t>
            </w:r>
            <w:r w:rsidRPr="00001714">
              <w:rPr>
                <w:rFonts w:ascii="Arial" w:hAnsi="Arial" w:cs="Arial"/>
                <w:sz w:val="20"/>
                <w:vertAlign w:val="superscript"/>
              </w:rPr>
              <w:t xml:space="preserve"> a</w:t>
            </w:r>
            <w:r w:rsidRPr="00001714">
              <w:rPr>
                <w:rFonts w:ascii="Arial" w:hAnsi="Arial" w:cs="Arial"/>
                <w:sz w:val="20"/>
              </w:rPr>
              <w:t>, or ASTM D6357</w:t>
            </w:r>
            <w:r w:rsidRPr="00001714">
              <w:rPr>
                <w:rFonts w:ascii="Arial" w:hAnsi="Arial" w:cs="Arial"/>
                <w:sz w:val="20"/>
                <w:vertAlign w:val="superscript"/>
              </w:rPr>
              <w:t>a</w:t>
            </w:r>
            <w:r w:rsidRPr="00001714">
              <w:rPr>
                <w:rFonts w:ascii="Arial" w:hAnsi="Arial" w:cs="Arial"/>
                <w:sz w:val="20"/>
              </w:rPr>
              <w:t xml:space="preserve"> or EPA 200.8</w:t>
            </w:r>
            <w:r w:rsidRPr="00001714">
              <w:rPr>
                <w:rFonts w:ascii="Arial" w:hAnsi="Arial" w:cs="Arial"/>
                <w:sz w:val="20"/>
                <w:vertAlign w:val="superscript"/>
              </w:rPr>
              <w:t>a</w:t>
            </w:r>
            <w:r w:rsidRPr="00001714">
              <w:rPr>
                <w:rFonts w:ascii="Arial" w:hAnsi="Arial" w:cs="Arial"/>
                <w:sz w:val="20"/>
              </w:rPr>
              <w:t xml:space="preserve"> or EPA SW-846-6020</w:t>
            </w:r>
            <w:r w:rsidRPr="00001714">
              <w:rPr>
                <w:rFonts w:ascii="Arial" w:hAnsi="Arial" w:cs="Arial"/>
                <w:sz w:val="20"/>
                <w:vertAlign w:val="superscript"/>
              </w:rPr>
              <w:t>a</w:t>
            </w:r>
            <w:r w:rsidRPr="00001714">
              <w:rPr>
                <w:rFonts w:ascii="Arial" w:hAnsi="Arial" w:cs="Arial"/>
                <w:sz w:val="20"/>
              </w:rPr>
              <w:t>, or EPA SW-846-6020A</w:t>
            </w:r>
            <w:r w:rsidRPr="00001714">
              <w:rPr>
                <w:rFonts w:ascii="Arial" w:hAnsi="Arial" w:cs="Arial"/>
                <w:sz w:val="20"/>
                <w:vertAlign w:val="superscript"/>
              </w:rPr>
              <w:t>a</w:t>
            </w:r>
            <w:r w:rsidRPr="00001714">
              <w:rPr>
                <w:rFonts w:ascii="Arial" w:hAnsi="Arial" w:cs="Arial"/>
                <w:sz w:val="20"/>
              </w:rPr>
              <w:t>, or EPA SW-846-6010C</w:t>
            </w:r>
            <w:r w:rsidRPr="00001714">
              <w:rPr>
                <w:rFonts w:ascii="Arial" w:hAnsi="Arial" w:cs="Arial"/>
                <w:sz w:val="20"/>
                <w:vertAlign w:val="superscript"/>
              </w:rPr>
              <w:t>a</w:t>
            </w:r>
            <w:r w:rsidRPr="00001714">
              <w:rPr>
                <w:rFonts w:ascii="Arial" w:hAnsi="Arial" w:cs="Arial"/>
                <w:sz w:val="20"/>
              </w:rPr>
              <w:t>, EPA 7060</w:t>
            </w:r>
            <w:r w:rsidRPr="00001714">
              <w:rPr>
                <w:rFonts w:ascii="Arial" w:hAnsi="Arial" w:cs="Arial"/>
                <w:sz w:val="20"/>
                <w:vertAlign w:val="superscript"/>
              </w:rPr>
              <w:t>a</w:t>
            </w:r>
            <w:r w:rsidRPr="00001714">
              <w:rPr>
                <w:rFonts w:ascii="Arial" w:hAnsi="Arial" w:cs="Arial"/>
                <w:sz w:val="20"/>
              </w:rPr>
              <w:t xml:space="preserve"> or EPA 7060A</w:t>
            </w:r>
            <w:r w:rsidRPr="00001714">
              <w:rPr>
                <w:rFonts w:ascii="Arial" w:hAnsi="Arial" w:cs="Arial"/>
                <w:sz w:val="20"/>
                <w:vertAlign w:val="superscript"/>
              </w:rPr>
              <w:t>a</w:t>
            </w:r>
            <w:r w:rsidRPr="00001714">
              <w:rPr>
                <w:rFonts w:ascii="Arial" w:hAnsi="Arial" w:cs="Arial"/>
                <w:sz w:val="20"/>
              </w:rPr>
              <w:t xml:space="preserve"> (for arsenic only), or EPA SW-846-7740</w:t>
            </w:r>
            <w:r w:rsidRPr="00001714">
              <w:rPr>
                <w:rFonts w:ascii="Arial" w:hAnsi="Arial" w:cs="Arial"/>
                <w:sz w:val="20"/>
                <w:vertAlign w:val="superscript"/>
              </w:rPr>
              <w:t>a</w:t>
            </w:r>
            <w:r w:rsidRPr="00001714">
              <w:rPr>
                <w:rFonts w:ascii="Arial" w:hAnsi="Arial" w:cs="Arial"/>
                <w:sz w:val="20"/>
              </w:rPr>
              <w:t xml:space="preserve"> (for selenium only).</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concentrations into units of pounds of TSM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9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TSM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13 in §63.7530.</w:t>
            </w:r>
          </w:p>
        </w:tc>
      </w:tr>
    </w:tbl>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a</w:t>
      </w:r>
      <w:r w:rsidRPr="00001714">
        <w:rPr>
          <w:rFonts w:ascii="Arial" w:hAnsi="Arial" w:cs="Arial"/>
          <w:sz w:val="20"/>
        </w:rPr>
        <w:t>Incorporated</w:t>
      </w:r>
      <w:proofErr w:type="gramEnd"/>
      <w:r w:rsidRPr="00001714">
        <w:rPr>
          <w:rFonts w:ascii="Arial" w:hAnsi="Arial" w:cs="Arial"/>
          <w:sz w:val="20"/>
        </w:rPr>
        <w:t xml:space="preserve">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7201, Jan. 31, 2013]</w:t>
      </w:r>
    </w:p>
    <w:p w:rsidR="00F0171B" w:rsidRPr="00001714" w:rsidRDefault="0036167B" w:rsidP="00F0171B">
      <w:pPr>
        <w:spacing w:before="200" w:after="100" w:afterAutospacing="1"/>
        <w:rPr>
          <w:rFonts w:ascii="Arial" w:hAnsi="Arial" w:cs="Arial"/>
          <w:sz w:val="20"/>
        </w:rPr>
      </w:pPr>
      <w:hyperlink r:id="rId189" w:anchor="_top" w:history="1">
        <w:r w:rsidR="00F0171B" w:rsidRPr="00001714">
          <w:rPr>
            <w:rFonts w:ascii="Arial" w:hAnsi="Arial" w:cs="Arial"/>
            <w:noProof/>
            <w:color w:val="0000FF"/>
            <w:sz w:val="20"/>
          </w:rPr>
          <w:drawing>
            <wp:inline distT="0" distB="0" distL="0" distR="0">
              <wp:extent cx="152400" cy="152400"/>
              <wp:effectExtent l="0" t="0" r="0" b="0"/>
              <wp:docPr id="45" name="Picture 45"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2" w:name="40:14.0.1.1.1.5.144.28.31"/>
      <w:bookmarkEnd w:id="42"/>
      <w:r w:rsidRPr="00001714">
        <w:rPr>
          <w:rFonts w:ascii="Arial" w:hAnsi="Arial" w:cs="Arial"/>
          <w:b/>
          <w:bCs/>
          <w:sz w:val="20"/>
        </w:rPr>
        <w:lastRenderedPageBreak/>
        <w:t>Table 7 to Subpart DDDDD of Part 63—Establishing Operating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§63.7520,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72"/>
        <w:gridCol w:w="1555"/>
        <w:gridCol w:w="2430"/>
        <w:gridCol w:w="1653"/>
        <w:gridCol w:w="3044"/>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 have an applicable emission limit for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And your operating limits are based on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According to the following requirements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PM, TSM, or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scrubber pressure drop and minimum flow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scrubber pressure drop and liquid flow rate monitors and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scrubber pressure drop and liquid flow 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lowest hourly average scrubber pressure drop and liquid flow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Electrostatic precipitator operating parameters (option only for units that operate wet scrubbers)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total secondary electric power input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voltage and secondary amperage monitors during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secondary voltage and secondary amperage for each ESP cell and calculate total secondary electric power input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average total secondary electric power input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site-specific minimum pressure drop, effluent pH, and flow rate operating limits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pressure drop, pH, and liquid flow-rate monitors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pH and liquid flow-rate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pH and liquid flow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Dry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i. Establish a site-specific minimum sorbent injection rate operating limit </w:t>
            </w:r>
            <w:r w:rsidRPr="00001714">
              <w:rPr>
                <w:rFonts w:ascii="Arial" w:hAnsi="Arial" w:cs="Arial"/>
                <w:sz w:val="20"/>
              </w:rPr>
              <w:lastRenderedPageBreak/>
              <w:t>according to §63.7530(b). If different acid gas sorbents are used during the HCl performance test, the average value for each sorbent becomes the site-specific operating limit for that sorbent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(1) Data from the sorbent injection rate monitors and </w:t>
            </w:r>
            <w:r w:rsidRPr="00001714">
              <w:rPr>
                <w:rFonts w:ascii="Arial" w:hAnsi="Arial" w:cs="Arial"/>
                <w:sz w:val="20"/>
              </w:rPr>
              <w:lastRenderedPageBreak/>
              <w:t>HCl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(a) You must collect sorbent injection rate data every 15 minutes during the entire period </w:t>
            </w:r>
            <w:r w:rsidRPr="00001714">
              <w:rPr>
                <w:rFonts w:ascii="Arial" w:hAnsi="Arial" w:cs="Arial"/>
                <w:sz w:val="20"/>
              </w:rPr>
              <w:lastRenderedPageBreak/>
              <w:t>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sorbent injection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lowest hourly average of the three test run averages established during the performance test as your operating limit. When your unit operates at lower loads, multiply your sorbent injection rate by the load fraction (e.g., for 50 percent load, multiply the injection rate operating limit by 0.5) to determine the required injection rate.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Alternative Maximum SO</w:t>
            </w:r>
            <w:r w:rsidRPr="00001714">
              <w:rPr>
                <w:rFonts w:ascii="Arial" w:hAnsi="Arial" w:cs="Arial"/>
                <w:sz w:val="20"/>
                <w:vertAlign w:val="subscript"/>
              </w:rPr>
              <w:t>2</w:t>
            </w:r>
            <w:r w:rsidRPr="00001714">
              <w:rPr>
                <w:rFonts w:ascii="Arial" w:hAnsi="Arial" w:cs="Arial"/>
                <w:sz w:val="20"/>
              </w:rPr>
              <w:t xml:space="preserve"> emission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maximum SO</w:t>
            </w:r>
            <w:r w:rsidRPr="00001714">
              <w:rPr>
                <w:rFonts w:ascii="Arial" w:hAnsi="Arial" w:cs="Arial"/>
                <w:sz w:val="20"/>
                <w:vertAlign w:val="subscript"/>
              </w:rPr>
              <w:t>2</w:t>
            </w:r>
            <w:r w:rsidRPr="00001714">
              <w:rPr>
                <w:rFonts w:ascii="Arial" w:hAnsi="Arial" w:cs="Arial"/>
                <w:sz w:val="20"/>
              </w:rPr>
              <w:t xml:space="preserve"> emission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SO</w:t>
            </w:r>
            <w:r w:rsidRPr="00001714">
              <w:rPr>
                <w:rFonts w:ascii="Arial" w:hAnsi="Arial" w:cs="Arial"/>
                <w:sz w:val="20"/>
                <w:vertAlign w:val="subscript"/>
              </w:rPr>
              <w:t>2</w:t>
            </w:r>
            <w:r w:rsidRPr="00001714">
              <w:rPr>
                <w:rFonts w:ascii="Arial" w:hAnsi="Arial" w:cs="Arial"/>
                <w:sz w:val="20"/>
              </w:rPr>
              <w:t xml:space="preserve"> CEMS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the SO</w:t>
            </w:r>
            <w:r w:rsidRPr="00001714">
              <w:rPr>
                <w:rFonts w:ascii="Arial" w:hAnsi="Arial" w:cs="Arial"/>
                <w:sz w:val="20"/>
                <w:vertAlign w:val="subscript"/>
              </w:rPr>
              <w:t>2</w:t>
            </w:r>
            <w:r w:rsidRPr="00001714">
              <w:rPr>
                <w:rFonts w:ascii="Arial" w:hAnsi="Arial" w:cs="Arial"/>
                <w:sz w:val="20"/>
              </w:rPr>
              <w:t xml:space="preserve"> emissions data according to §63.7525(m) during the most recent HCl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The maximum SO</w:t>
            </w:r>
            <w:r w:rsidRPr="00001714">
              <w:rPr>
                <w:rFonts w:ascii="Arial" w:hAnsi="Arial" w:cs="Arial"/>
                <w:sz w:val="20"/>
                <w:vertAlign w:val="subscript"/>
              </w:rPr>
              <w:t>2</w:t>
            </w:r>
            <w:r w:rsidRPr="00001714">
              <w:rPr>
                <w:rFonts w:ascii="Arial" w:hAnsi="Arial" w:cs="Arial"/>
                <w:sz w:val="20"/>
              </w:rPr>
              <w:t xml:space="preserve"> emission rate is equal to the lowest hourly average SO</w:t>
            </w:r>
            <w:r w:rsidRPr="00001714">
              <w:rPr>
                <w:rFonts w:ascii="Arial" w:hAnsi="Arial" w:cs="Arial"/>
                <w:sz w:val="20"/>
                <w:vertAlign w:val="subscript"/>
              </w:rPr>
              <w:t>2</w:t>
            </w:r>
            <w:r w:rsidRPr="00001714">
              <w:rPr>
                <w:rFonts w:ascii="Arial" w:hAnsi="Arial" w:cs="Arial"/>
                <w:sz w:val="20"/>
              </w:rPr>
              <w:t xml:space="preserve"> emission rate measured during the most recent HCl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Activated carbon injection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activated carbon injection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activated carbon rate monitors and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activated carbon injection 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activated carbon injection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(c) Determine the lowest hourly average established during the performance test as your operating limit. When your unit </w:t>
            </w:r>
            <w:r w:rsidRPr="00001714">
              <w:rPr>
                <w:rFonts w:ascii="Arial" w:hAnsi="Arial" w:cs="Arial"/>
                <w:sz w:val="20"/>
              </w:rPr>
              <w:lastRenderedPageBreak/>
              <w:t>operates at lower loads, multiply your activated carbon injection rate by the load fraction (e.g., actual heat input divided by heat input during performance test, for 50 percent load, multiply the injection rate operating limit by 0.5) to determine the required injection rate.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4. Carbon monoxide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unit-specific limit for minimum oxygen level according to §63.7520</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oxygen analyzer system specified in §63.7525(a)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oxygen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oxygen concentration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lowest hourly average established during the performance test as your minimum operating limit.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Any pollutant for which compliance is demonstrated by a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unit specific limit for maximum operating load according to §63.7520(c)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operating load monitors or from steam generation monitors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operating load or steam generation data every 15 minutes during the entire period of the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average operating load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average of the three test run averages during the performance test, and multiply this by 1.1 (110 percent) as your operating limit.</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7203, Jan. 31, 2013]</w:t>
      </w:r>
    </w:p>
    <w:p w:rsidR="00F0171B" w:rsidRPr="00001714" w:rsidRDefault="0036167B" w:rsidP="00F0171B">
      <w:pPr>
        <w:spacing w:before="200" w:after="100" w:afterAutospacing="1"/>
        <w:rPr>
          <w:rFonts w:ascii="Arial" w:hAnsi="Arial" w:cs="Arial"/>
          <w:sz w:val="20"/>
        </w:rPr>
      </w:pPr>
      <w:hyperlink r:id="rId190" w:anchor="_top" w:history="1">
        <w:r w:rsidR="00F0171B" w:rsidRPr="00001714">
          <w:rPr>
            <w:rFonts w:ascii="Arial" w:hAnsi="Arial" w:cs="Arial"/>
            <w:noProof/>
            <w:color w:val="0000FF"/>
            <w:sz w:val="20"/>
          </w:rPr>
          <w:drawing>
            <wp:inline distT="0" distB="0" distL="0" distR="0">
              <wp:extent cx="152400" cy="152400"/>
              <wp:effectExtent l="0" t="0" r="0" b="0"/>
              <wp:docPr id="44" name="Picture 44"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3" w:name="40:14.0.1.1.1.5.144.28.32"/>
      <w:bookmarkEnd w:id="43"/>
      <w:r w:rsidRPr="00001714">
        <w:rPr>
          <w:rFonts w:ascii="Arial" w:hAnsi="Arial" w:cs="Arial"/>
          <w:b/>
          <w:bCs/>
          <w:sz w:val="20"/>
        </w:rPr>
        <w:t>Table 8 to Subpart DDDDD of Part 63—Demonstrating Continuous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§63.7540, you must show continuous compliance with the emission limitations for each boiler or process heater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862"/>
        <w:gridCol w:w="7392"/>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lastRenderedPageBreak/>
              <w:t>If you must meet the following operating limits or work practice standards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demonstrate continuous compliance by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Opacity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opacity monitoring system data according to §63.7525(c)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opacity monitoring data to 6-minute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opacity to less than or equal to 10 percent (daily block average).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PM CPMS output data according to §63.7525;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PM CPMS output data to less than the operating limit established during the performance test according to §63.7530(b)(4).</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Fabric Filter Bag Leak Detection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Installing and operating a bag leak detection system according to §63.7525 and operating the fabric filter such that the requirements in §63.7540(a</w:t>
            </w:r>
            <w:proofErr w:type="gramStart"/>
            <w:r w:rsidRPr="00001714">
              <w:rPr>
                <w:rFonts w:ascii="Arial" w:hAnsi="Arial" w:cs="Arial"/>
                <w:sz w:val="20"/>
              </w:rPr>
              <w:t>)(</w:t>
            </w:r>
            <w:proofErr w:type="gramEnd"/>
            <w:r w:rsidRPr="00001714">
              <w:rPr>
                <w:rFonts w:ascii="Arial" w:hAnsi="Arial" w:cs="Arial"/>
                <w:sz w:val="20"/>
              </w:rPr>
              <w:t>9) are met.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Wet Scrubber Pressure Drop and Liquid Flow-rate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pressure drop and liquid flow rate monitoring system data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pressure drop and liquid flow-rate at or above the operating limits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Wet Scrubber pH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pH monitoring system data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pH at or above the operating limit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Dry Scrubber Sorbent or Carbon Injection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sorbent or carbon injection rate monitoring system data for the dry scrubber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sorbent or carbon injection rate at or above the minimum sorbent or carbon injection rate as defined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Electrostatic Precipitator Total Secondary Electric Power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total secondary electric power input monitoring system data for the electrostatic precipitator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total secondary electric power input at or above the operating limits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Emission limits using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Conduct monthly fuel analysis for HCl or mercury or TSM according to Table 6 to this subpart;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Reduce the data to 12-month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c. Maintain the 12-month rolling average at or below the applicable emission limit </w:t>
            </w:r>
            <w:r w:rsidRPr="00001714">
              <w:rPr>
                <w:rFonts w:ascii="Arial" w:hAnsi="Arial" w:cs="Arial"/>
                <w:sz w:val="20"/>
              </w:rPr>
              <w:lastRenderedPageBreak/>
              <w:t>for HCl or mercury or TSM in Tables 1 and 2 or 11 through 13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9. Oxygen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Continuously monitor the oxygen content using an oxygen analyzer system according to §63.7525(a). This requirement does not apply to units that install an oxygen trim system since these units will set the trim system to the level specified in §63.7525(a</w:t>
            </w:r>
            <w:proofErr w:type="gramStart"/>
            <w:r w:rsidRPr="00001714">
              <w:rPr>
                <w:rFonts w:ascii="Arial" w:hAnsi="Arial" w:cs="Arial"/>
                <w:sz w:val="20"/>
              </w:rPr>
              <w:t>)(</w:t>
            </w:r>
            <w:proofErr w:type="gramEnd"/>
            <w:r w:rsidRPr="00001714">
              <w:rPr>
                <w:rFonts w:ascii="Arial" w:hAnsi="Arial" w:cs="Arial"/>
                <w:sz w:val="20"/>
              </w:rPr>
              <w:t>2).</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 the 30-day rolling average oxygen content at or above the lowest hourly average oxygen level measured during the most recent CO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operating load data or steam generation data every 15 minutes.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Maintaining the operating load such that it does not exceed 110 percent of the highest hourly average operating load recorded during the most recent performance test according to §63.7520(c).</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SO</w:t>
            </w:r>
            <w:r w:rsidRPr="00001714">
              <w:rPr>
                <w:rFonts w:ascii="Arial" w:hAnsi="Arial" w:cs="Arial"/>
                <w:sz w:val="20"/>
                <w:vertAlign w:val="subscript"/>
              </w:rPr>
              <w:t>2</w:t>
            </w:r>
            <w:r w:rsidRPr="00001714">
              <w:rPr>
                <w:rFonts w:ascii="Arial" w:hAnsi="Arial" w:cs="Arial"/>
                <w:sz w:val="20"/>
              </w:rPr>
              <w:t xml:space="preserve"> emissions using SO</w:t>
            </w:r>
            <w:r w:rsidRPr="00001714">
              <w:rPr>
                <w:rFonts w:ascii="Arial" w:hAnsi="Arial" w:cs="Arial"/>
                <w:sz w:val="20"/>
                <w:vertAlign w:val="subscript"/>
              </w:rPr>
              <w:t>2</w:t>
            </w:r>
            <w:r w:rsidRPr="00001714">
              <w:rPr>
                <w:rFonts w:ascii="Arial" w:hAnsi="Arial" w:cs="Arial"/>
                <w:sz w:val="20"/>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SO</w:t>
            </w:r>
            <w:r w:rsidRPr="00001714">
              <w:rPr>
                <w:rFonts w:ascii="Arial" w:hAnsi="Arial" w:cs="Arial"/>
                <w:sz w:val="20"/>
                <w:vertAlign w:val="subscript"/>
              </w:rPr>
              <w:t>2</w:t>
            </w:r>
            <w:r w:rsidRPr="00001714">
              <w:rPr>
                <w:rFonts w:ascii="Arial" w:hAnsi="Arial" w:cs="Arial"/>
                <w:sz w:val="20"/>
              </w:rPr>
              <w:t xml:space="preserve"> CEMS output data according to §63.7525;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SO</w:t>
            </w:r>
            <w:r w:rsidRPr="00001714">
              <w:rPr>
                <w:rFonts w:ascii="Arial" w:hAnsi="Arial" w:cs="Arial"/>
                <w:sz w:val="20"/>
                <w:vertAlign w:val="subscript"/>
              </w:rPr>
              <w:t>2</w:t>
            </w:r>
            <w:r w:rsidRPr="00001714">
              <w:rPr>
                <w:rFonts w:ascii="Arial" w:hAnsi="Arial" w:cs="Arial"/>
                <w:sz w:val="20"/>
              </w:rPr>
              <w:t xml:space="preserve"> CEMS emission rate to a level at or below the minimum hourly SO</w:t>
            </w:r>
            <w:r w:rsidRPr="00001714">
              <w:rPr>
                <w:rFonts w:ascii="Arial" w:hAnsi="Arial" w:cs="Arial"/>
                <w:sz w:val="20"/>
                <w:vertAlign w:val="subscript"/>
              </w:rPr>
              <w:t>2</w:t>
            </w:r>
            <w:r w:rsidRPr="00001714">
              <w:rPr>
                <w:rFonts w:ascii="Arial" w:hAnsi="Arial" w:cs="Arial"/>
                <w:sz w:val="20"/>
              </w:rPr>
              <w:t xml:space="preserve"> rate measured during the most recent HCl performance test according to §63.7530.</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7204, Jan. 31, 2013]</w:t>
      </w:r>
    </w:p>
    <w:p w:rsidR="00F0171B" w:rsidRPr="00001714" w:rsidRDefault="0036167B" w:rsidP="00F0171B">
      <w:pPr>
        <w:spacing w:before="200" w:after="100" w:afterAutospacing="1"/>
        <w:rPr>
          <w:rFonts w:ascii="Arial" w:hAnsi="Arial" w:cs="Arial"/>
          <w:sz w:val="20"/>
        </w:rPr>
      </w:pPr>
      <w:hyperlink r:id="rId191" w:anchor="_top" w:history="1">
        <w:r w:rsidR="00F0171B" w:rsidRPr="00001714">
          <w:rPr>
            <w:rFonts w:ascii="Arial" w:hAnsi="Arial" w:cs="Arial"/>
            <w:noProof/>
            <w:color w:val="0000FF"/>
            <w:sz w:val="20"/>
          </w:rPr>
          <w:drawing>
            <wp:inline distT="0" distB="0" distL="0" distR="0">
              <wp:extent cx="152400" cy="152400"/>
              <wp:effectExtent l="0" t="0" r="0" b="0"/>
              <wp:docPr id="43" name="Picture 43"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4" w:name="40:14.0.1.1.1.5.144.28.33"/>
      <w:bookmarkEnd w:id="44"/>
      <w:r w:rsidRPr="00001714">
        <w:rPr>
          <w:rFonts w:ascii="Arial" w:hAnsi="Arial" w:cs="Arial"/>
          <w:b/>
          <w:bCs/>
          <w:sz w:val="20"/>
        </w:rPr>
        <w:t>Table 9 to Subpart DDDDD of Part 63—Reporting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54"/>
        <w:gridCol w:w="6465"/>
        <w:gridCol w:w="2535"/>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submit a(n)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report must contain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submit the report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Compliance report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Information required in §63.7550(c)(1) through (5);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Semiannually, annually, biennially, or every 5 years according to the requirements in §63.7550(b).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If there are no deviations from any emission limitation (emission limit and operating limit) that applies to you and there are no deviations from the requirements for work practice standards in Table 3 to this subpart that apply to you, a statement that there were no deviations from the emission limitations and work practice standards during the reporting period. If there were no periods during which the CMSs, including continuous emissions monitoring system, continuous opacity monitoring system, and operating parameter monitoring systems, were out-of-control as specified in §63.8(c)(7), a statement that there were no periods during which the CMSs were out-of-control during the reporting period;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If you have a deviation from any emission limitation (emission limit and operating limit) where you are not using a CMS to comply with that emission limit or operating limit, or a deviation from a work practice standard during the reporting period, the report must contain the information in §63.7550(d);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If there were periods during which the CMSs, including continuous emissions monitoring system, continuous opacity monitoring system, and operating parameter monitoring systems, were out-of-control as specified in §63.8(c)(7), or otherwise not operating, the report must contain the information in §63.7550(e)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7205, Jan. 31, 2013]</w:t>
      </w:r>
    </w:p>
    <w:p w:rsidR="00F0171B" w:rsidRPr="00001714" w:rsidRDefault="0036167B" w:rsidP="00F0171B">
      <w:pPr>
        <w:spacing w:before="200" w:after="100" w:afterAutospacing="1"/>
        <w:rPr>
          <w:rFonts w:ascii="Arial" w:hAnsi="Arial" w:cs="Arial"/>
          <w:sz w:val="20"/>
        </w:rPr>
      </w:pPr>
      <w:hyperlink r:id="rId192" w:anchor="_top" w:history="1">
        <w:r w:rsidR="00F0171B" w:rsidRPr="00001714">
          <w:rPr>
            <w:rFonts w:ascii="Arial" w:hAnsi="Arial" w:cs="Arial"/>
            <w:noProof/>
            <w:color w:val="0000FF"/>
            <w:sz w:val="20"/>
          </w:rPr>
          <w:drawing>
            <wp:inline distT="0" distB="0" distL="0" distR="0">
              <wp:extent cx="152400" cy="152400"/>
              <wp:effectExtent l="0" t="0" r="0" b="0"/>
              <wp:docPr id="42" name="Picture 42"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5" w:name="40:14.0.1.1.1.5.144.28.34"/>
      <w:bookmarkEnd w:id="45"/>
      <w:r w:rsidRPr="00001714">
        <w:rPr>
          <w:rFonts w:ascii="Arial" w:hAnsi="Arial" w:cs="Arial"/>
          <w:b/>
          <w:bCs/>
          <w:sz w:val="20"/>
        </w:rPr>
        <w:t>Table 10 to Subpart DDDDD of Part 63—Applicability of General Provisions to Subpart DDDDD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§63.7565,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04"/>
        <w:gridCol w:w="2557"/>
        <w:gridCol w:w="4193"/>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Subject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Applies to subpart DDDDD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Applicability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Definitions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 Additional terms defined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Units and Abbreviations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Prohibited Activities and Circumvention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Preconstruction Review and 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§63.6(a), (b)(1)-(b)(5), (b)(7), (c)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Compliance with Standards and Maintenance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duty to minimize emissions.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w:t>
            </w:r>
            <w:proofErr w:type="gramStart"/>
            <w:r w:rsidRPr="00001714">
              <w:rPr>
                <w:rFonts w:ascii="Arial" w:hAnsi="Arial" w:cs="Arial"/>
                <w:sz w:val="20"/>
              </w:rPr>
              <w:t>)(</w:t>
            </w:r>
            <w:proofErr w:type="gramEnd"/>
            <w:r w:rsidRPr="00001714">
              <w:rPr>
                <w:rFonts w:ascii="Arial" w:hAnsi="Arial" w:cs="Arial"/>
                <w:sz w:val="20"/>
              </w:rPr>
              <w:t>3) for the general duty requirement.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Requirement to correct malfunctions as soon as practicable.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plan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§63.6(f)(1)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exemptions for 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§63.6(f)(2) and (3)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alternative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§63.6(h)(1)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exemptions to opacity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§63.6(h)(2) to (h)(9)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Determining compliance with 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 Note: Facilities may also request extensions of compliance for the installation of combined heat and power, waste heat recovery, or gas pipeline or fuel feeding infrastructure as a means of complying with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§63.6(j)</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Presidential exemption.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§63.7(a), (b), (c), and (d)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§63.7(e)(1)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Conditions for conducting performance tests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Subpart DDDDD specifies conditions for conducting performance tests at §63.7520(a) to (c).</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§63.7(e)(2)-(e)(9), (f), (g), and (h)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§63.8(a) and (b)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Applicability and Conduct of Monitoring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duty to minimize emissions and CMS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w:t>
            </w:r>
            <w:proofErr w:type="gramStart"/>
            <w:r w:rsidRPr="00001714">
              <w:rPr>
                <w:rFonts w:ascii="Arial" w:hAnsi="Arial" w:cs="Arial"/>
                <w:sz w:val="20"/>
              </w:rPr>
              <w:t>)(</w:t>
            </w:r>
            <w:proofErr w:type="gramEnd"/>
            <w:r w:rsidRPr="00001714">
              <w:rPr>
                <w:rFonts w:ascii="Arial" w:hAnsi="Arial" w:cs="Arial"/>
                <w:sz w:val="20"/>
              </w:rPr>
              <w:t>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plans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§63.8(c)(2) to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Monitoring Requirements, Quality Control Program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Written procedures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Yes, except for the last sentence, </w:t>
            </w:r>
            <w:proofErr w:type="gramStart"/>
            <w:r w:rsidRPr="00001714">
              <w:rPr>
                <w:rFonts w:ascii="Arial" w:hAnsi="Arial" w:cs="Arial"/>
                <w:sz w:val="20"/>
              </w:rPr>
              <w:t>which refers to a startup, shutdown, and malfunction plan.</w:t>
            </w:r>
            <w:proofErr w:type="gramEnd"/>
            <w:r w:rsidRPr="00001714">
              <w:rPr>
                <w:rFonts w:ascii="Arial" w:hAnsi="Arial" w:cs="Arial"/>
                <w:sz w:val="20"/>
              </w:rPr>
              <w:t xml:space="preserve"> Startup, shutdown, and malfunction plans are not required.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evaluation of a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an alternative monitoring method.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Reduction of monitoring </w:t>
            </w:r>
            <w:r w:rsidRPr="00001714">
              <w:rPr>
                <w:rFonts w:ascii="Arial" w:hAnsi="Arial" w:cs="Arial"/>
                <w:sz w:val="20"/>
              </w:rPr>
              <w:lastRenderedPageBreak/>
              <w:t>data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§63.9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§63.10(a), (b)(1)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and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of occurrence and duration of startups or shutdowns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of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§63.7555(d</w:t>
            </w:r>
            <w:proofErr w:type="gramStart"/>
            <w:r w:rsidRPr="00001714">
              <w:rPr>
                <w:rFonts w:ascii="Arial" w:hAnsi="Arial" w:cs="Arial"/>
                <w:sz w:val="20"/>
              </w:rPr>
              <w:t>)(</w:t>
            </w:r>
            <w:proofErr w:type="gramEnd"/>
            <w:r w:rsidRPr="00001714">
              <w:rPr>
                <w:rFonts w:ascii="Arial" w:hAnsi="Arial" w:cs="Arial"/>
                <w:sz w:val="20"/>
              </w:rPr>
              <w:t>7) for recordkeeping of occurrence and duration and §63.7555(d)(8) for actions taken during malfunctions.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Maintenance records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§63.10(b)(2)(iv) and (v)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Actions taken to minimize emissions during startup, shutdown, or malfunction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§63.10(b)(2)(vi)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CMS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§63.10(b)(2)(vii) to (xiv)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Other CMS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requirements for applicability determinations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 to (9)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§63.10(c)(10) and (11)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Recording nature and cause of malfunctions, and corrective actions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§63.7555(d</w:t>
            </w:r>
            <w:proofErr w:type="gramStart"/>
            <w:r w:rsidRPr="00001714">
              <w:rPr>
                <w:rFonts w:ascii="Arial" w:hAnsi="Arial" w:cs="Arial"/>
                <w:sz w:val="20"/>
              </w:rPr>
              <w:t>)(</w:t>
            </w:r>
            <w:proofErr w:type="gramEnd"/>
            <w:r w:rsidRPr="00001714">
              <w:rPr>
                <w:rFonts w:ascii="Arial" w:hAnsi="Arial" w:cs="Arial"/>
                <w:sz w:val="20"/>
              </w:rPr>
              <w:t>7) for recordkeeping of occurrence and duration and §63.7555(d)(8) for actions taken during malfunctions.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§63.10(c)(12) and (13)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startup, shutdown, and malfunction plan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Reporting opacity or visible emission observation results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Progress reports under an 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reports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§63.7550(c</w:t>
            </w:r>
            <w:proofErr w:type="gramStart"/>
            <w:r w:rsidRPr="00001714">
              <w:rPr>
                <w:rFonts w:ascii="Arial" w:hAnsi="Arial" w:cs="Arial"/>
                <w:sz w:val="20"/>
              </w:rPr>
              <w:t>)(</w:t>
            </w:r>
            <w:proofErr w:type="gramEnd"/>
            <w:r w:rsidRPr="00001714">
              <w:rPr>
                <w:rFonts w:ascii="Arial" w:hAnsi="Arial" w:cs="Arial"/>
                <w:sz w:val="20"/>
              </w:rPr>
              <w:t>11) for malfunction reporting requirements.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Additional reporting requirements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Waiver of recordkeeping or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§63.11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Control Device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State Authority and Delegation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§63.13-63.16</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Addresses, Incorporation by Reference, Availability of Information, Performance Track Provisions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§63.1(a)(5),(a)(7)-(a)(9), (b)(2), (c)(3)-(4), (d), 63.6(b)(6), (c)(3), (c)(4), (d), (e)(2), (e)(3)(ii), (h)(3), (h)(5)(iv), 63.8(a)(3), 63.9(b)(3), (h)(4), 63.10(c)(2)-(4),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Reserved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7205, Jan. 31, 2013]</w:t>
      </w:r>
    </w:p>
    <w:p w:rsidR="00F0171B" w:rsidRPr="00001714" w:rsidRDefault="0036167B" w:rsidP="00F0171B">
      <w:pPr>
        <w:spacing w:before="200" w:after="100" w:afterAutospacing="1"/>
        <w:rPr>
          <w:rFonts w:ascii="Arial" w:hAnsi="Arial" w:cs="Arial"/>
          <w:sz w:val="20"/>
        </w:rPr>
      </w:pPr>
      <w:hyperlink r:id="rId193" w:anchor="_top" w:history="1">
        <w:r w:rsidR="00F0171B" w:rsidRPr="00001714">
          <w:rPr>
            <w:rFonts w:ascii="Arial" w:hAnsi="Arial" w:cs="Arial"/>
            <w:noProof/>
            <w:color w:val="0000FF"/>
            <w:sz w:val="20"/>
          </w:rPr>
          <w:drawing>
            <wp:inline distT="0" distB="0" distL="0" distR="0">
              <wp:extent cx="152400" cy="152400"/>
              <wp:effectExtent l="0" t="0" r="0" b="0"/>
              <wp:docPr id="41" name="Picture 41"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6" w:name="40:14.0.1.1.1.5.144.28.35"/>
      <w:bookmarkEnd w:id="46"/>
      <w:r w:rsidRPr="00001714">
        <w:rPr>
          <w:rFonts w:ascii="Arial" w:hAnsi="Arial" w:cs="Arial"/>
          <w:b/>
          <w:bCs/>
          <w:sz w:val="20"/>
        </w:rPr>
        <w:t>Table 11 to Subpart DDDDD of Part 63—Toxic Equivalency Factors for Dioxins/Furans</w:t>
      </w:r>
    </w:p>
    <w:p w:rsidR="00F0171B" w:rsidRPr="00001714" w:rsidRDefault="00F0171B" w:rsidP="00F0171B">
      <w:pPr>
        <w:spacing w:before="100" w:beforeAutospacing="1" w:after="100" w:afterAutospacing="1"/>
        <w:ind w:firstLine="480"/>
        <w:rPr>
          <w:rFonts w:ascii="Arial" w:hAnsi="Arial" w:cs="Arial"/>
          <w:b/>
          <w:bCs/>
          <w:smallCaps/>
          <w:sz w:val="20"/>
        </w:rPr>
      </w:pPr>
      <w:r w:rsidRPr="00001714">
        <w:rPr>
          <w:rFonts w:ascii="Arial" w:hAnsi="Arial" w:cs="Arial"/>
          <w:b/>
          <w:bCs/>
          <w:smallCaps/>
          <w:sz w:val="20"/>
        </w:rPr>
        <w:t>Table 11 to Subpart DDDDD of Part 63—Toxic Equivalency Factors for Dioxins/Furans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240"/>
        <w:gridCol w:w="3014"/>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Dioxin/furan congener</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Toxic equivalency</w:t>
            </w:r>
            <w:r w:rsidRPr="00001714">
              <w:rPr>
                <w:rFonts w:ascii="Arial" w:hAnsi="Arial" w:cs="Arial"/>
                <w:b/>
                <w:bCs/>
                <w:sz w:val="20"/>
              </w:rPr>
              <w:br/>
              <w:t>factor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2,3,7,8-tetrachlorinated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1,2,3,7,8-pentachlorinated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1,2,3,7,8,9-hexachlorinated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1,2,3,6,7,8-hexachlorinated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1,2,3,4,6,7,8-heptachlorinated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octachlorinated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2,3,7,8-tetrachlorinated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2,3,4,7,8-pentachlorinated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1,2,3,7,8,9-hexachlorinated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2,3,4,6,7,8-hexachlorinated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1,2,3,4,6,7,8-heptachlorinated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1,2,3,4,7,8,9-heptachlorinated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octachlorinated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0.0003</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lastRenderedPageBreak/>
        <w:t>[76 FR 15664, Mar. 21, 2011]</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7206, Jan. 31, 2013, Table 11 was added, effective Apr. 1, 2013. However Table 11 could not be added as a Table 11 is already in existence. </w:t>
      </w:r>
    </w:p>
    <w:p w:rsidR="00F0171B" w:rsidRPr="00001714" w:rsidRDefault="0036167B" w:rsidP="00F0171B">
      <w:pPr>
        <w:spacing w:before="200" w:after="100" w:afterAutospacing="1"/>
        <w:rPr>
          <w:rFonts w:ascii="Arial" w:hAnsi="Arial" w:cs="Arial"/>
          <w:sz w:val="20"/>
        </w:rPr>
      </w:pPr>
      <w:hyperlink r:id="rId194" w:anchor="_top" w:history="1">
        <w:r w:rsidR="00F0171B" w:rsidRPr="00001714">
          <w:rPr>
            <w:rFonts w:ascii="Arial" w:hAnsi="Arial" w:cs="Arial"/>
            <w:noProof/>
            <w:color w:val="0000FF"/>
            <w:sz w:val="20"/>
          </w:rPr>
          <w:drawing>
            <wp:inline distT="0" distB="0" distL="0" distR="0">
              <wp:extent cx="152400" cy="152400"/>
              <wp:effectExtent l="0" t="0" r="0" b="0"/>
              <wp:docPr id="40" name="Picture 40"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outlineLvl w:val="1"/>
        <w:rPr>
          <w:rFonts w:ascii="Arial" w:hAnsi="Arial" w:cs="Arial"/>
          <w:b/>
          <w:bCs/>
          <w:sz w:val="20"/>
        </w:rPr>
      </w:pPr>
      <w:bookmarkStart w:id="47" w:name="40:14.0.1.1.1.5.144.28.36"/>
      <w:bookmarkEnd w:id="47"/>
      <w:r w:rsidRPr="00001714">
        <w:rPr>
          <w:rFonts w:ascii="Arial" w:hAnsi="Arial" w:cs="Arial"/>
          <w:b/>
          <w:bCs/>
          <w:sz w:val="20"/>
        </w:rPr>
        <w:t>Table 12 to Subpart DDDDD of Part 63—Alternative Emission Limits for New or Reconstructed Boilers and Process Heaters That Commenced Construction or Reconstruction After June 4, 2010, and Before May 20, 2011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29"/>
        <w:gridCol w:w="1520"/>
        <w:gridCol w:w="2400"/>
        <w:gridCol w:w="2605"/>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 pollutants</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periods of startup and shutdown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 duration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2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Units in all subcategories designed to burn solid fuel that combust at least 10 percent biomass/bio-based solids on an annual heat input basis and less than 10 percent coal/solid fossil fuels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0.008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Units in all subcategories designed to burn solid fuel that combust at least 10 percent coal/solid fossil fuels on an annual heat input basis and less than 10 percent biomass/bio-based solids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0.0011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Units designed to burn pulverized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5. Stokers designed to burn coal/solid </w:t>
            </w:r>
            <w:r w:rsidRPr="00001714">
              <w:rPr>
                <w:rFonts w:ascii="Arial" w:hAnsi="Arial" w:cs="Arial"/>
                <w:sz w:val="20"/>
              </w:rPr>
              <w:lastRenderedPageBreak/>
              <w:t>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7 ppm by volume on a dry </w:t>
            </w:r>
            <w:r w:rsidRPr="00001714">
              <w:rPr>
                <w:rFonts w:ascii="Arial" w:hAnsi="Arial" w:cs="Arial"/>
                <w:sz w:val="20"/>
              </w:rPr>
              <w:lastRenderedPageBreak/>
              <w:t>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0.005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Suspension burners/Dutch Ovens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Fuel cells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470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Hybrid suspension/grate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0.002 lb per MMBtu of heat input (30-day rolling average for units 250 MMBtu/hr or greater, 3-run average for units less than </w:t>
            </w:r>
            <w:r w:rsidRPr="00001714">
              <w:rPr>
                <w:rFonts w:ascii="Arial" w:hAnsi="Arial" w:cs="Arial"/>
                <w:sz w:val="20"/>
              </w:rPr>
              <w:lastRenderedPageBreak/>
              <w:t>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2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Units designed to burn liquid fuel located in non-continental States and territories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7.8E-07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1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0.0067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b. Hydrogen </w:t>
            </w:r>
            <w:r w:rsidRPr="00001714">
              <w:rPr>
                <w:rFonts w:ascii="Arial" w:hAnsi="Arial" w:cs="Arial"/>
                <w:sz w:val="20"/>
              </w:rPr>
              <w:lastRenderedPageBreak/>
              <w:t>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0.0017 lb per MMBtu of </w:t>
            </w:r>
            <w:r w:rsidRPr="00001714">
              <w:rPr>
                <w:rFonts w:ascii="Arial" w:hAnsi="Arial" w:cs="Arial"/>
                <w:sz w:val="20"/>
              </w:rPr>
              <w:lastRenderedPageBreak/>
              <w:t>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For M26A, collect a </w:t>
            </w:r>
            <w:r w:rsidRPr="00001714">
              <w:rPr>
                <w:rFonts w:ascii="Arial" w:hAnsi="Arial" w:cs="Arial"/>
                <w:sz w:val="20"/>
              </w:rPr>
              <w:lastRenderedPageBreak/>
              <w:t>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1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0.08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bl>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a</w:t>
      </w:r>
      <w:r w:rsidRPr="00001714">
        <w:rPr>
          <w:rFonts w:ascii="Arial" w:hAnsi="Arial" w:cs="Arial"/>
          <w:sz w:val="20"/>
        </w:rPr>
        <w:t>Incorporated</w:t>
      </w:r>
      <w:proofErr w:type="gramEnd"/>
      <w:r w:rsidRPr="00001714">
        <w:rPr>
          <w:rFonts w:ascii="Arial" w:hAnsi="Arial" w:cs="Arial"/>
          <w:sz w:val="20"/>
        </w:rPr>
        <w:t xml:space="preserve">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7208, Jan. 31, 2013, Table 12 was added, effective Apr. 1, 2013. However, Table 12 could not be added as a Table 12 is already in existence. </w:t>
      </w:r>
    </w:p>
    <w:p w:rsidR="00F0171B" w:rsidRPr="00001714" w:rsidRDefault="0036167B" w:rsidP="00F0171B">
      <w:pPr>
        <w:spacing w:before="200" w:after="100" w:afterAutospacing="1"/>
        <w:rPr>
          <w:rFonts w:ascii="Arial" w:hAnsi="Arial" w:cs="Arial"/>
          <w:sz w:val="20"/>
        </w:rPr>
      </w:pPr>
      <w:hyperlink r:id="rId195" w:anchor="_top" w:history="1">
        <w:r w:rsidR="00F0171B" w:rsidRPr="00001714">
          <w:rPr>
            <w:rFonts w:ascii="Arial" w:hAnsi="Arial" w:cs="Arial"/>
            <w:noProof/>
            <w:color w:val="0000FF"/>
            <w:sz w:val="20"/>
          </w:rPr>
          <w:drawing>
            <wp:inline distT="0" distB="0" distL="0" distR="0">
              <wp:extent cx="152400" cy="152400"/>
              <wp:effectExtent l="0" t="0" r="0" b="0"/>
              <wp:docPr id="39" name="Picture 39"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outlineLvl w:val="1"/>
        <w:rPr>
          <w:rFonts w:ascii="Arial" w:hAnsi="Arial" w:cs="Arial"/>
          <w:b/>
          <w:bCs/>
          <w:sz w:val="20"/>
        </w:rPr>
      </w:pPr>
      <w:bookmarkStart w:id="48" w:name="40:14.0.1.1.1.5.144.28.37"/>
      <w:bookmarkEnd w:id="48"/>
      <w:r w:rsidRPr="00001714">
        <w:rPr>
          <w:rFonts w:ascii="Arial" w:hAnsi="Arial" w:cs="Arial"/>
          <w:b/>
          <w:bCs/>
          <w:sz w:val="20"/>
        </w:rPr>
        <w:t>Table 13 to Subpart DDDDD of Part 63—Alternative Emission Limits for New or Reconstructed Boilers and Process Heaters That Commenced Construction or Reconstruction After December 23, 2011, and Before January 31,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13"/>
        <w:gridCol w:w="1341"/>
        <w:gridCol w:w="3457"/>
        <w:gridCol w:w="3043"/>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 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periods of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 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8.6E-07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b. Filterable </w:t>
            </w:r>
            <w:r w:rsidRPr="00001714">
              <w:rPr>
                <w:rFonts w:ascii="Arial" w:hAnsi="Arial" w:cs="Arial"/>
                <w:sz w:val="20"/>
              </w:rPr>
              <w:lastRenderedPageBreak/>
              <w:t>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1.1E-03 lb per MMBtu of heat input; or </w:t>
            </w:r>
            <w:r w:rsidRPr="00001714">
              <w:rPr>
                <w:rFonts w:ascii="Arial" w:hAnsi="Arial" w:cs="Arial"/>
                <w:sz w:val="20"/>
              </w:rPr>
              <w:lastRenderedPageBreak/>
              <w:t>(2.8E-05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 xml:space="preserve">Collect a minimum of 3 dscm per </w:t>
            </w:r>
            <w:r w:rsidRPr="00001714">
              <w:rPr>
                <w:rFonts w:ascii="Arial" w:hAnsi="Arial" w:cs="Arial"/>
                <w:sz w:val="20"/>
              </w:rPr>
              <w:lastRenderedPageBreak/>
              <w:t>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3.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(340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2.8E-02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620 ppm by volume on a dry basis corrected to 3 percent oxygen, 3-run average; or (410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9.8E-03 lb per MMBtu of heat input; or (8.3E-05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 xml:space="preserve">2,400 ppm by volume on a dry basis corrected to 3 percent oxygen, 3-run average; or (2,000 ppm by volume on a dry basis corrected to 3 percent </w:t>
            </w:r>
            <w:r w:rsidRPr="00001714">
              <w:rPr>
                <w:rFonts w:ascii="Arial" w:hAnsi="Arial" w:cs="Arial"/>
                <w:sz w:val="20"/>
              </w:rPr>
              <w:lastRenderedPageBreak/>
              <w:t>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810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3.6E-02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4.9E-07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(18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1.3E-03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w:t>
            </w:r>
            <w:r w:rsidRPr="00001714">
              <w:rPr>
                <w:rFonts w:ascii="Arial" w:hAnsi="Arial" w:cs="Arial"/>
                <w:sz w:val="20"/>
                <w:vertAlign w:val="superscript"/>
              </w:rPr>
              <w:t>a</w:t>
            </w:r>
            <w:r w:rsidRPr="00001714">
              <w:rPr>
                <w:rFonts w:ascii="Arial" w:hAnsi="Arial" w:cs="Arial"/>
                <w:sz w:val="20"/>
              </w:rPr>
              <w:t xml:space="preserve"> ppm by volume on a dry basis corrected to 3 percent oxygen; or (60 ppm by volume on a dry basis corrected to 3 percent oxygen, 1-day block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w:t>
            </w:r>
            <w:r w:rsidRPr="00001714">
              <w:rPr>
                <w:rFonts w:ascii="Arial" w:hAnsi="Arial" w:cs="Arial"/>
                <w:sz w:val="20"/>
                <w:vertAlign w:val="superscript"/>
              </w:rPr>
              <w:t>a</w:t>
            </w:r>
            <w:r w:rsidRPr="00001714">
              <w:rPr>
                <w:rFonts w:ascii="Arial" w:hAnsi="Arial" w:cs="Arial"/>
                <w:sz w:val="20"/>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lastRenderedPageBreak/>
              <w:t>16.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 or (91 ppm by volume on a dry basis corrected to 3 percent oxygen, 3-hour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 xml:space="preserve">If you are conducting stack tests to demonstrate compliance and your performance tests for this pollutant for at least 2 consecutive years show that your emissions are at or below this limit and you are not required to conduct testing for CEMS or CPMS monitor certification, you can skip testing according to §63.7515 if all of the other provision of §63.7515 are met. For all other pollutants that do not contain a footnote “a”, your performance tests for this pollutant for at least 2 consecutive years must show that your emissions are at or below 75 percent of this limit in order to qualify for skip </w:t>
      </w:r>
      <w:proofErr w:type="gramStart"/>
      <w:r w:rsidRPr="00001714">
        <w:rPr>
          <w:rFonts w:ascii="Arial" w:hAnsi="Arial" w:cs="Arial"/>
          <w:sz w:val="20"/>
        </w:rPr>
        <w:t>testing.</w:t>
      </w:r>
      <w:proofErr w:type="gramEnd"/>
    </w:p>
    <w:p w:rsidR="00F0171B" w:rsidRPr="00001714" w:rsidRDefault="00F0171B" w:rsidP="00F0171B">
      <w:pPr>
        <w:spacing w:before="100" w:beforeAutospacing="1" w:after="100" w:afterAutospacing="1"/>
        <w:ind w:firstLine="480"/>
        <w:rPr>
          <w:rFonts w:ascii="Arial" w:hAnsi="Arial" w:cs="Arial"/>
          <w:sz w:val="20"/>
        </w:rPr>
      </w:pPr>
      <w:proofErr w:type="gramStart"/>
      <w:r w:rsidRPr="00001714">
        <w:rPr>
          <w:rFonts w:ascii="Arial" w:hAnsi="Arial" w:cs="Arial"/>
          <w:sz w:val="20"/>
          <w:vertAlign w:val="superscript"/>
        </w:rPr>
        <w:t>b</w:t>
      </w:r>
      <w:r w:rsidRPr="00001714">
        <w:rPr>
          <w:rFonts w:ascii="Arial" w:hAnsi="Arial" w:cs="Arial"/>
          <w:sz w:val="20"/>
        </w:rPr>
        <w:t>Incorporated</w:t>
      </w:r>
      <w:proofErr w:type="gramEnd"/>
      <w:r w:rsidRPr="00001714">
        <w:rPr>
          <w:rFonts w:ascii="Arial" w:hAnsi="Arial" w:cs="Arial"/>
          <w:sz w:val="20"/>
        </w:rPr>
        <w:t xml:space="preserve"> by reference, see §63.14.</w:t>
      </w:r>
    </w:p>
    <w:p w:rsidR="00F0171B" w:rsidRPr="00F0171B" w:rsidRDefault="00F0171B" w:rsidP="00F0171B">
      <w:pPr>
        <w:spacing w:before="200" w:after="100" w:afterAutospacing="1"/>
        <w:rPr>
          <w:rFonts w:ascii="Arial" w:hAnsi="Arial" w:cs="Arial"/>
          <w:sz w:val="20"/>
        </w:rPr>
      </w:pPr>
      <w:r w:rsidRPr="00001714">
        <w:rPr>
          <w:rFonts w:ascii="Arial" w:hAnsi="Arial" w:cs="Arial"/>
          <w:sz w:val="20"/>
        </w:rPr>
        <w:t>[78 FR 7210, Jan. 31, 2013]</w:t>
      </w:r>
    </w:p>
    <w:p w:rsidR="00F0171B" w:rsidRPr="00F0171B" w:rsidRDefault="00F0171B" w:rsidP="00F0171B">
      <w:pPr>
        <w:rPr>
          <w:sz w:val="20"/>
        </w:rPr>
      </w:pPr>
    </w:p>
    <w:p w:rsidR="00BA5928" w:rsidRPr="00F0171B" w:rsidRDefault="00BA5928" w:rsidP="009C7FDC">
      <w:pPr>
        <w:pStyle w:val="NormalWeb"/>
        <w:rPr>
          <w:rFonts w:ascii="Times New Roman" w:hAnsi="Times New Roman" w:cs="Times New Roman"/>
          <w:sz w:val="20"/>
          <w:szCs w:val="20"/>
        </w:rPr>
      </w:pPr>
    </w:p>
    <w:sectPr w:rsidR="00BA5928" w:rsidRPr="00F0171B" w:rsidSect="00314D2A">
      <w:headerReference w:type="default" r:id="rId196"/>
      <w:pgSz w:w="12240" w:h="15840" w:code="1"/>
      <w:pgMar w:top="1008" w:right="1008" w:bottom="1008" w:left="1008" w:header="720" w:footer="720" w:gutter="0"/>
      <w:paperSrc w:first="15" w:other="15"/>
      <w:pgNumType w:start="7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49D" w:rsidRDefault="007B549D">
      <w:r>
        <w:separator/>
      </w:r>
    </w:p>
  </w:endnote>
  <w:endnote w:type="continuationSeparator" w:id="0">
    <w:p w:rsidR="007B549D" w:rsidRDefault="007B54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EC1A3C">
      <w:rPr>
        <w:sz w:val="18"/>
        <w:szCs w:val="18"/>
      </w:rPr>
      <w:t xml:space="preserve">           </w:t>
    </w:r>
    <w:r w:rsidRPr="008A35C3">
      <w:rPr>
        <w:sz w:val="18"/>
        <w:szCs w:val="18"/>
      </w:rPr>
      <w:t>Permit No. 0510003-05</w:t>
    </w:r>
    <w:r w:rsidR="00EC1A3C">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EC1A3C">
      <w:rPr>
        <w:bCs/>
        <w:sz w:val="18"/>
        <w:szCs w:val="18"/>
      </w:rPr>
      <w:t>.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A-</w:t>
    </w:r>
    <w:r w:rsidR="0036167B" w:rsidRPr="008A35C3">
      <w:rPr>
        <w:sz w:val="18"/>
        <w:szCs w:val="18"/>
      </w:rPr>
      <w:fldChar w:fldCharType="begin"/>
    </w:r>
    <w:r w:rsidRPr="008A35C3">
      <w:rPr>
        <w:sz w:val="18"/>
        <w:szCs w:val="18"/>
      </w:rPr>
      <w:instrText xml:space="preserve"> PAGE  \* MERGEFORMAT </w:instrText>
    </w:r>
    <w:r w:rsidR="0036167B" w:rsidRPr="008A35C3">
      <w:rPr>
        <w:sz w:val="18"/>
        <w:szCs w:val="18"/>
      </w:rPr>
      <w:fldChar w:fldCharType="separate"/>
    </w:r>
    <w:r w:rsidR="00C93C00">
      <w:rPr>
        <w:noProof/>
        <w:sz w:val="18"/>
        <w:szCs w:val="18"/>
      </w:rPr>
      <w:t>2</w:t>
    </w:r>
    <w:r w:rsidR="0036167B" w:rsidRPr="008A35C3">
      <w:rPr>
        <w:sz w:val="18"/>
        <w:szCs w:val="18"/>
      </w:rPr>
      <w:fldChar w:fldCharType="end"/>
    </w:r>
    <w:r w:rsidRPr="008A35C3">
      <w:rPr>
        <w:sz w:val="18"/>
        <w:szCs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864EEA">
      <w:rPr>
        <w:sz w:val="18"/>
        <w:szCs w:val="18"/>
      </w:rPr>
      <w:t xml:space="preserve">                 </w:t>
    </w:r>
    <w:r w:rsidRPr="008A35C3">
      <w:rPr>
        <w:sz w:val="18"/>
        <w:szCs w:val="18"/>
      </w:rPr>
      <w:t>Permit No. 0510003-05</w:t>
    </w:r>
    <w:r w:rsidR="00864EEA">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864EEA">
      <w:rPr>
        <w:bCs/>
        <w:sz w:val="18"/>
        <w:szCs w:val="18"/>
      </w:rPr>
      <w:t>. Sugar Clewiston Facility                                                                                Boiler MACT Modification of OFA for Boiler Nos. 1 and 2</w:t>
    </w:r>
  </w:p>
  <w:p w:rsidR="009C7FDC" w:rsidRPr="008A35C3" w:rsidRDefault="009C7FDC">
    <w:pPr>
      <w:pStyle w:val="Footer"/>
      <w:tabs>
        <w:tab w:val="clear" w:pos="4320"/>
        <w:tab w:val="clear" w:pos="8640"/>
        <w:tab w:val="right" w:pos="9360"/>
      </w:tabs>
      <w:jc w:val="center"/>
      <w:rPr>
        <w:sz w:val="18"/>
        <w:szCs w:val="18"/>
      </w:rPr>
    </w:pPr>
    <w:r w:rsidRPr="008A35C3">
      <w:rPr>
        <w:sz w:val="18"/>
        <w:szCs w:val="18"/>
      </w:rPr>
      <w:t>Page B-</w:t>
    </w:r>
    <w:r w:rsidR="0036167B" w:rsidRPr="008A35C3">
      <w:rPr>
        <w:sz w:val="18"/>
        <w:szCs w:val="18"/>
      </w:rPr>
      <w:fldChar w:fldCharType="begin"/>
    </w:r>
    <w:r w:rsidRPr="008A35C3">
      <w:rPr>
        <w:sz w:val="18"/>
        <w:szCs w:val="18"/>
      </w:rPr>
      <w:instrText xml:space="preserve"> PAGE  \* MERGEFORMAT </w:instrText>
    </w:r>
    <w:r w:rsidR="0036167B" w:rsidRPr="008A35C3">
      <w:rPr>
        <w:sz w:val="18"/>
        <w:szCs w:val="18"/>
      </w:rPr>
      <w:fldChar w:fldCharType="separate"/>
    </w:r>
    <w:r w:rsidR="00C93C00">
      <w:rPr>
        <w:noProof/>
        <w:sz w:val="18"/>
        <w:szCs w:val="18"/>
      </w:rPr>
      <w:t>1</w:t>
    </w:r>
    <w:r w:rsidR="0036167B" w:rsidRPr="008A35C3">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13077D">
      <w:rPr>
        <w:sz w:val="18"/>
        <w:szCs w:val="18"/>
      </w:rPr>
      <w:t xml:space="preserve">                    </w:t>
    </w:r>
    <w:r w:rsidRPr="008A35C3">
      <w:rPr>
        <w:sz w:val="18"/>
        <w:szCs w:val="18"/>
      </w:rPr>
      <w:t>Permit No. 0510003-05</w:t>
    </w:r>
    <w:r w:rsidR="0013077D">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13077D">
      <w:rPr>
        <w:bCs/>
        <w:sz w:val="18"/>
        <w:szCs w:val="18"/>
      </w:rPr>
      <w:t>.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C-</w:t>
    </w:r>
    <w:r w:rsidR="0036167B" w:rsidRPr="008A35C3">
      <w:rPr>
        <w:sz w:val="18"/>
        <w:szCs w:val="18"/>
      </w:rPr>
      <w:fldChar w:fldCharType="begin"/>
    </w:r>
    <w:r w:rsidRPr="008A35C3">
      <w:rPr>
        <w:sz w:val="18"/>
        <w:szCs w:val="18"/>
      </w:rPr>
      <w:instrText xml:space="preserve"> PAGE  \* MERGEFORMAT </w:instrText>
    </w:r>
    <w:r w:rsidR="0036167B" w:rsidRPr="008A35C3">
      <w:rPr>
        <w:sz w:val="18"/>
        <w:szCs w:val="18"/>
      </w:rPr>
      <w:fldChar w:fldCharType="separate"/>
    </w:r>
    <w:r w:rsidR="00C93C00">
      <w:rPr>
        <w:noProof/>
        <w:sz w:val="18"/>
        <w:szCs w:val="18"/>
      </w:rPr>
      <w:t>1</w:t>
    </w:r>
    <w:r w:rsidR="0036167B" w:rsidRPr="008A35C3">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0431FF">
      <w:rPr>
        <w:sz w:val="18"/>
        <w:szCs w:val="18"/>
      </w:rPr>
      <w:t xml:space="preserve">                    </w:t>
    </w:r>
    <w:r w:rsidRPr="00DC7E93">
      <w:rPr>
        <w:sz w:val="18"/>
        <w:szCs w:val="18"/>
      </w:rPr>
      <w:t>Permit No. 0510003-05</w:t>
    </w:r>
    <w:r w:rsidR="000431FF">
      <w:rPr>
        <w:sz w:val="18"/>
        <w:szCs w:val="18"/>
      </w:rPr>
      <w:t>8-AC</w:t>
    </w:r>
  </w:p>
  <w:p w:rsidR="009C7FDC" w:rsidRPr="00DC7E93" w:rsidRDefault="009C7FDC" w:rsidP="00347BAD">
    <w:pPr>
      <w:tabs>
        <w:tab w:val="left" w:pos="7200"/>
      </w:tabs>
      <w:rPr>
        <w:bCs/>
        <w:sz w:val="18"/>
        <w:szCs w:val="18"/>
      </w:rPr>
    </w:pPr>
    <w:r w:rsidRPr="00DC7E93">
      <w:rPr>
        <w:bCs/>
        <w:sz w:val="18"/>
        <w:szCs w:val="18"/>
      </w:rPr>
      <w:t>U.S</w:t>
    </w:r>
    <w:r w:rsidR="000431FF">
      <w:rPr>
        <w:bCs/>
        <w:sz w:val="18"/>
        <w:szCs w:val="18"/>
      </w:rPr>
      <w:t>. Sugar 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H-</w:t>
    </w:r>
    <w:r w:rsidR="0036167B" w:rsidRPr="00DC7E93">
      <w:rPr>
        <w:sz w:val="18"/>
        <w:szCs w:val="18"/>
      </w:rPr>
      <w:fldChar w:fldCharType="begin"/>
    </w:r>
    <w:r w:rsidRPr="00DC7E93">
      <w:rPr>
        <w:sz w:val="18"/>
        <w:szCs w:val="18"/>
      </w:rPr>
      <w:instrText xml:space="preserve"> PAGE  \* MERGEFORMAT </w:instrText>
    </w:r>
    <w:r w:rsidR="0036167B" w:rsidRPr="00DC7E93">
      <w:rPr>
        <w:sz w:val="18"/>
        <w:szCs w:val="18"/>
      </w:rPr>
      <w:fldChar w:fldCharType="separate"/>
    </w:r>
    <w:r w:rsidR="00C93C00">
      <w:rPr>
        <w:noProof/>
        <w:sz w:val="18"/>
        <w:szCs w:val="18"/>
      </w:rPr>
      <w:t>3</w:t>
    </w:r>
    <w:r w:rsidR="0036167B" w:rsidRPr="00DC7E93">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DC7E93" w:rsidRDefault="009C7FDC" w:rsidP="008F3C53">
    <w:pPr>
      <w:pBdr>
        <w:top w:val="single" w:sz="4" w:space="1" w:color="auto"/>
      </w:pBdr>
      <w:tabs>
        <w:tab w:val="left" w:pos="4905"/>
        <w:tab w:val="left" w:pos="7200"/>
        <w:tab w:val="right" w:pos="8640"/>
      </w:tabs>
      <w:suppressAutoHyphens/>
      <w:spacing w:before="240"/>
      <w:rPr>
        <w:sz w:val="18"/>
        <w:szCs w:val="18"/>
      </w:rPr>
    </w:pPr>
    <w:r w:rsidRPr="00DC7E93">
      <w:rPr>
        <w:bCs/>
        <w:sz w:val="18"/>
        <w:szCs w:val="18"/>
      </w:rPr>
      <w:t>United States Sugar Corporation</w:t>
    </w:r>
    <w:r w:rsidRPr="00DC7E93">
      <w:rPr>
        <w:sz w:val="18"/>
        <w:szCs w:val="18"/>
      </w:rPr>
      <w:tab/>
    </w:r>
    <w:r w:rsidR="008F3C53">
      <w:rPr>
        <w:sz w:val="18"/>
        <w:szCs w:val="18"/>
      </w:rPr>
      <w:t xml:space="preserve">                                                                       </w:t>
    </w:r>
    <w:r w:rsidR="008F3C53">
      <w:rPr>
        <w:sz w:val="18"/>
        <w:szCs w:val="18"/>
      </w:rPr>
      <w:tab/>
    </w:r>
    <w:r w:rsidRPr="00DC7E93">
      <w:rPr>
        <w:sz w:val="18"/>
        <w:szCs w:val="18"/>
      </w:rPr>
      <w:t>Permit No. 0510003-05</w:t>
    </w:r>
    <w:r w:rsidR="008F3C53">
      <w:rPr>
        <w:sz w:val="18"/>
        <w:szCs w:val="18"/>
      </w:rPr>
      <w:t>8-AC</w:t>
    </w:r>
  </w:p>
  <w:p w:rsidR="009C7FDC" w:rsidRPr="00DC7E93" w:rsidRDefault="009C7FDC" w:rsidP="00347BAD">
    <w:pPr>
      <w:tabs>
        <w:tab w:val="left" w:pos="7200"/>
      </w:tabs>
      <w:rPr>
        <w:bCs/>
        <w:sz w:val="18"/>
        <w:szCs w:val="18"/>
      </w:rPr>
    </w:pPr>
    <w:r w:rsidRPr="00DC7E93">
      <w:rPr>
        <w:bCs/>
        <w:sz w:val="18"/>
        <w:szCs w:val="18"/>
      </w:rPr>
      <w:t>U.S</w:t>
    </w:r>
    <w:r w:rsidR="008F3C53">
      <w:rPr>
        <w:bCs/>
        <w:sz w:val="18"/>
        <w:szCs w:val="18"/>
      </w:rPr>
      <w:t>. Sugar 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I-</w:t>
    </w:r>
    <w:r w:rsidR="0036167B" w:rsidRPr="00DC7E93">
      <w:rPr>
        <w:sz w:val="18"/>
        <w:szCs w:val="18"/>
      </w:rPr>
      <w:fldChar w:fldCharType="begin"/>
    </w:r>
    <w:r w:rsidRPr="00DC7E93">
      <w:rPr>
        <w:sz w:val="18"/>
        <w:szCs w:val="18"/>
      </w:rPr>
      <w:instrText xml:space="preserve"> PAGE  \* MERGEFORMAT </w:instrText>
    </w:r>
    <w:r w:rsidR="0036167B" w:rsidRPr="00DC7E93">
      <w:rPr>
        <w:sz w:val="18"/>
        <w:szCs w:val="18"/>
      </w:rPr>
      <w:fldChar w:fldCharType="separate"/>
    </w:r>
    <w:r w:rsidR="00C93C00">
      <w:rPr>
        <w:noProof/>
        <w:sz w:val="18"/>
        <w:szCs w:val="18"/>
      </w:rPr>
      <w:t>2</w:t>
    </w:r>
    <w:r w:rsidR="0036167B" w:rsidRPr="00DC7E93">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4140C5">
      <w:rPr>
        <w:sz w:val="18"/>
        <w:szCs w:val="18"/>
      </w:rPr>
      <w:t xml:space="preserve">                    </w:t>
    </w:r>
    <w:r w:rsidRPr="00DC7E93">
      <w:rPr>
        <w:sz w:val="18"/>
        <w:szCs w:val="18"/>
      </w:rPr>
      <w:t>Permit No. 0510003-05</w:t>
    </w:r>
    <w:r w:rsidR="004140C5">
      <w:rPr>
        <w:sz w:val="18"/>
        <w:szCs w:val="18"/>
      </w:rPr>
      <w:t>8-AC</w:t>
    </w:r>
  </w:p>
  <w:p w:rsidR="009C7FDC" w:rsidRPr="00DC7E93" w:rsidRDefault="009C7FDC" w:rsidP="00347BAD">
    <w:pPr>
      <w:tabs>
        <w:tab w:val="left" w:pos="7200"/>
      </w:tabs>
      <w:rPr>
        <w:bCs/>
        <w:sz w:val="18"/>
        <w:szCs w:val="18"/>
      </w:rPr>
    </w:pPr>
    <w:r w:rsidRPr="00DC7E93">
      <w:rPr>
        <w:bCs/>
        <w:sz w:val="18"/>
        <w:szCs w:val="18"/>
      </w:rPr>
      <w:t xml:space="preserve">U.S. </w:t>
    </w:r>
    <w:r w:rsidR="004140C5">
      <w:rPr>
        <w:bCs/>
        <w:sz w:val="18"/>
        <w:szCs w:val="18"/>
      </w:rPr>
      <w:t>Sugar Clewiston Facility                                                                                   Boiler MACT Modification of OFA for Boiler Nos. 1 and 2</w:t>
    </w:r>
  </w:p>
  <w:p w:rsidR="009C7FDC" w:rsidRPr="00DC7E93" w:rsidRDefault="009C7FDC">
    <w:pPr>
      <w:pStyle w:val="Footer"/>
      <w:tabs>
        <w:tab w:val="clear" w:pos="4320"/>
        <w:tab w:val="clear" w:pos="8640"/>
      </w:tabs>
      <w:jc w:val="center"/>
      <w:rPr>
        <w:sz w:val="18"/>
        <w:szCs w:val="18"/>
      </w:rPr>
    </w:pPr>
    <w:r w:rsidRPr="00DC7E93">
      <w:rPr>
        <w:sz w:val="18"/>
        <w:szCs w:val="18"/>
      </w:rPr>
      <w:t>Page J-</w:t>
    </w:r>
    <w:r w:rsidR="0036167B" w:rsidRPr="00DC7E93">
      <w:rPr>
        <w:sz w:val="18"/>
        <w:szCs w:val="18"/>
      </w:rPr>
      <w:fldChar w:fldCharType="begin"/>
    </w:r>
    <w:r w:rsidRPr="00DC7E93">
      <w:rPr>
        <w:sz w:val="18"/>
        <w:szCs w:val="18"/>
      </w:rPr>
      <w:instrText xml:space="preserve"> PAGE  \* MERGEFORMAT </w:instrText>
    </w:r>
    <w:r w:rsidR="0036167B" w:rsidRPr="00DC7E93">
      <w:rPr>
        <w:sz w:val="18"/>
        <w:szCs w:val="18"/>
      </w:rPr>
      <w:fldChar w:fldCharType="separate"/>
    </w:r>
    <w:r w:rsidR="00C93C00">
      <w:rPr>
        <w:noProof/>
        <w:sz w:val="18"/>
        <w:szCs w:val="18"/>
      </w:rPr>
      <w:t>2</w:t>
    </w:r>
    <w:r w:rsidR="0036167B" w:rsidRPr="00DC7E93">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646D7A">
      <w:rPr>
        <w:sz w:val="18"/>
        <w:szCs w:val="18"/>
      </w:rPr>
      <w:t xml:space="preserve">                    </w:t>
    </w:r>
    <w:r w:rsidRPr="00DC7E93">
      <w:rPr>
        <w:sz w:val="18"/>
        <w:szCs w:val="18"/>
      </w:rPr>
      <w:t>Permit No. 0510003-0</w:t>
    </w:r>
    <w:r w:rsidR="00646D7A">
      <w:rPr>
        <w:sz w:val="18"/>
        <w:szCs w:val="18"/>
      </w:rPr>
      <w:t>58-AC</w:t>
    </w:r>
  </w:p>
  <w:p w:rsidR="009C7FDC" w:rsidRPr="00DC7E93" w:rsidRDefault="009C7FDC" w:rsidP="00347BAD">
    <w:pPr>
      <w:tabs>
        <w:tab w:val="left" w:pos="7200"/>
      </w:tabs>
      <w:rPr>
        <w:bCs/>
        <w:sz w:val="18"/>
        <w:szCs w:val="18"/>
      </w:rPr>
    </w:pPr>
    <w:r w:rsidRPr="00DC7E93">
      <w:rPr>
        <w:bCs/>
        <w:sz w:val="18"/>
        <w:szCs w:val="18"/>
      </w:rPr>
      <w:t xml:space="preserve">U.S. Sugar </w:t>
    </w:r>
    <w:r w:rsidR="00646D7A">
      <w:rPr>
        <w:bCs/>
        <w:sz w:val="18"/>
        <w:szCs w:val="18"/>
      </w:rPr>
      <w:t>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K-</w:t>
    </w:r>
    <w:r w:rsidR="0036167B" w:rsidRPr="00DC7E93">
      <w:rPr>
        <w:sz w:val="18"/>
        <w:szCs w:val="18"/>
      </w:rPr>
      <w:fldChar w:fldCharType="begin"/>
    </w:r>
    <w:r w:rsidRPr="00DC7E93">
      <w:rPr>
        <w:sz w:val="18"/>
        <w:szCs w:val="18"/>
      </w:rPr>
      <w:instrText xml:space="preserve"> PAGE  \* MERGEFORMAT </w:instrText>
    </w:r>
    <w:r w:rsidR="0036167B" w:rsidRPr="00DC7E93">
      <w:rPr>
        <w:sz w:val="18"/>
        <w:szCs w:val="18"/>
      </w:rPr>
      <w:fldChar w:fldCharType="separate"/>
    </w:r>
    <w:r w:rsidR="00C93C00">
      <w:rPr>
        <w:noProof/>
        <w:sz w:val="18"/>
        <w:szCs w:val="18"/>
      </w:rPr>
      <w:t>4</w:t>
    </w:r>
    <w:r w:rsidR="0036167B" w:rsidRPr="00DC7E93">
      <w:rPr>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DC7E93" w:rsidRDefault="009C7FDC" w:rsidP="00FB4270">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00C36B10">
      <w:rPr>
        <w:sz w:val="18"/>
        <w:szCs w:val="18"/>
      </w:rPr>
      <w:tab/>
      <w:t xml:space="preserve">                 Permit No. 0510003-058-AC</w:t>
    </w:r>
  </w:p>
  <w:p w:rsidR="009C7FDC" w:rsidRPr="00DC7E93" w:rsidRDefault="009C7FDC" w:rsidP="00FB4270">
    <w:pPr>
      <w:tabs>
        <w:tab w:val="left" w:pos="7200"/>
      </w:tabs>
      <w:rPr>
        <w:bCs/>
        <w:sz w:val="18"/>
        <w:szCs w:val="18"/>
      </w:rPr>
    </w:pPr>
    <w:r w:rsidRPr="00DC7E93">
      <w:rPr>
        <w:bCs/>
        <w:sz w:val="18"/>
        <w:szCs w:val="18"/>
      </w:rPr>
      <w:t>U.S</w:t>
    </w:r>
    <w:r w:rsidR="00C36B10">
      <w:rPr>
        <w:bCs/>
        <w:sz w:val="18"/>
        <w:szCs w:val="18"/>
      </w:rPr>
      <w:t>. Sugar Clewiston Facility                                                                                Boiler MACT Modification of OFA for Boiler Nos. 1 and 2</w:t>
    </w:r>
  </w:p>
  <w:p w:rsidR="009C7FDC" w:rsidRPr="009065A6" w:rsidRDefault="009C7FDC">
    <w:pPr>
      <w:pStyle w:val="Footer"/>
      <w:tabs>
        <w:tab w:val="clear" w:pos="4320"/>
        <w:tab w:val="clear" w:pos="8640"/>
      </w:tabs>
      <w:jc w:val="center"/>
      <w:rPr>
        <w:sz w:val="20"/>
      </w:rPr>
    </w:pPr>
    <w:r>
      <w:rPr>
        <w:sz w:val="20"/>
      </w:rPr>
      <w:t>Page O</w:t>
    </w:r>
    <w:r w:rsidRPr="009065A6">
      <w:rPr>
        <w:sz w:val="20"/>
      </w:rPr>
      <w:t>-</w:t>
    </w:r>
    <w:r w:rsidR="0036167B" w:rsidRPr="009065A6">
      <w:rPr>
        <w:sz w:val="20"/>
      </w:rPr>
      <w:fldChar w:fldCharType="begin"/>
    </w:r>
    <w:r w:rsidRPr="009065A6">
      <w:rPr>
        <w:sz w:val="20"/>
      </w:rPr>
      <w:instrText xml:space="preserve"> PAGE  \* MERGEFORMAT </w:instrText>
    </w:r>
    <w:r w:rsidR="0036167B" w:rsidRPr="009065A6">
      <w:rPr>
        <w:sz w:val="20"/>
      </w:rPr>
      <w:fldChar w:fldCharType="separate"/>
    </w:r>
    <w:r w:rsidR="00C93C00">
      <w:rPr>
        <w:noProof/>
        <w:sz w:val="20"/>
      </w:rPr>
      <w:t>181</w:t>
    </w:r>
    <w:r w:rsidR="0036167B"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49D" w:rsidRDefault="007B549D">
      <w:r>
        <w:separator/>
      </w:r>
    </w:p>
  </w:footnote>
  <w:footnote w:type="continuationSeparator" w:id="0">
    <w:p w:rsidR="007B549D" w:rsidRDefault="007B54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sidRPr="00784C5C">
      <w:rPr>
        <w:b/>
        <w:caps/>
        <w:sz w:val="20"/>
      </w:rPr>
      <w:t>SECTION 4.  APPENDIX A</w:t>
    </w:r>
  </w:p>
  <w:p w:rsidR="009C7FDC" w:rsidRPr="00846DFF" w:rsidRDefault="009C7FDC">
    <w:pPr>
      <w:pStyle w:val="Header"/>
      <w:tabs>
        <w:tab w:val="clear" w:pos="8640"/>
      </w:tabs>
      <w:spacing w:after="240"/>
      <w:jc w:val="center"/>
      <w:rPr>
        <w:b/>
        <w:sz w:val="20"/>
      </w:rPr>
    </w:pPr>
    <w:r w:rsidRPr="00846DFF">
      <w:rPr>
        <w:b/>
        <w:sz w:val="20"/>
      </w:rPr>
      <w:t>Citation Formats</w:t>
    </w:r>
    <w:r>
      <w:rPr>
        <w:b/>
        <w:sz w:val="20"/>
      </w:rPr>
      <w:t xml:space="preserve"> and Glossary</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3E663C" w:rsidRDefault="009C7FDC">
    <w:pPr>
      <w:pStyle w:val="Header"/>
      <w:pBdr>
        <w:bottom w:val="single" w:sz="4" w:space="1" w:color="auto"/>
      </w:pBdr>
      <w:tabs>
        <w:tab w:val="clear" w:pos="8640"/>
      </w:tabs>
      <w:jc w:val="center"/>
      <w:rPr>
        <w:b/>
        <w:caps/>
        <w:sz w:val="20"/>
      </w:rPr>
    </w:pPr>
    <w:r w:rsidRPr="003E663C">
      <w:rPr>
        <w:b/>
        <w:caps/>
        <w:sz w:val="20"/>
      </w:rPr>
      <w:t>SECTION 4.  APPENDIX I</w:t>
    </w:r>
  </w:p>
  <w:p w:rsidR="009C7FDC" w:rsidRPr="003E663C" w:rsidRDefault="009C7FDC">
    <w:pPr>
      <w:pStyle w:val="Header"/>
      <w:tabs>
        <w:tab w:val="clear" w:pos="8640"/>
      </w:tabs>
      <w:spacing w:after="240"/>
      <w:jc w:val="center"/>
      <w:rPr>
        <w:b/>
        <w:caps/>
        <w:sz w:val="20"/>
      </w:rPr>
    </w:pPr>
    <w:r>
      <w:rPr>
        <w:b/>
        <w:sz w:val="20"/>
      </w:rPr>
      <w:t>Fuel Monitoring</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Pr>
        <w:b/>
        <w:caps/>
        <w:sz w:val="20"/>
      </w:rPr>
      <w:t>SECTION 4.  APPENDIX J</w:t>
    </w:r>
  </w:p>
  <w:p w:rsidR="009C7FDC" w:rsidRPr="003E663C" w:rsidRDefault="009C7FDC">
    <w:pPr>
      <w:pStyle w:val="Header"/>
      <w:tabs>
        <w:tab w:val="clear" w:pos="8640"/>
      </w:tabs>
      <w:spacing w:after="240"/>
      <w:jc w:val="center"/>
      <w:rPr>
        <w:b/>
        <w:caps/>
        <w:sz w:val="20"/>
      </w:rPr>
    </w:pPr>
    <w:r w:rsidRPr="003E663C">
      <w:rPr>
        <w:b/>
        <w:sz w:val="20"/>
      </w:rPr>
      <w:t xml:space="preserve">Good Combustion Practices for </w:t>
    </w:r>
    <w:r>
      <w:rPr>
        <w:b/>
        <w:sz w:val="20"/>
      </w:rPr>
      <w:t xml:space="preserve">All </w:t>
    </w:r>
    <w:r w:rsidRPr="003E663C">
      <w:rPr>
        <w:b/>
        <w:sz w:val="20"/>
      </w:rPr>
      <w:t>Boilers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Pr>
        <w:b/>
        <w:caps/>
        <w:sz w:val="20"/>
      </w:rPr>
      <w:t>SECTION 4.  APPENDIX K</w:t>
    </w:r>
  </w:p>
  <w:p w:rsidR="009C7FDC" w:rsidRPr="003E663C" w:rsidRDefault="009C7FDC">
    <w:pPr>
      <w:pStyle w:val="Header"/>
      <w:tabs>
        <w:tab w:val="clear" w:pos="8640"/>
      </w:tabs>
      <w:spacing w:after="240"/>
      <w:jc w:val="center"/>
      <w:rPr>
        <w:b/>
        <w:caps/>
        <w:sz w:val="20"/>
      </w:rPr>
    </w:pPr>
    <w:r w:rsidRPr="003E663C">
      <w:rPr>
        <w:b/>
        <w:sz w:val="20"/>
      </w:rPr>
      <w:t>Startup, Shutdown and Malfunction Plans for Boilers</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A – General Provisions</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DDDDD – Industrial, Commercial, and Institutional Boilers and Process Heaters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Pr>
        <w:b/>
        <w:caps/>
        <w:sz w:val="20"/>
      </w:rPr>
      <w:t>SECTION 4.  APPENDIX B</w:t>
    </w:r>
  </w:p>
  <w:p w:rsidR="009C7FDC" w:rsidRPr="002326EC" w:rsidRDefault="009C7FDC">
    <w:pPr>
      <w:pStyle w:val="Header"/>
      <w:tabs>
        <w:tab w:val="clear" w:pos="8640"/>
      </w:tabs>
      <w:spacing w:after="240"/>
      <w:jc w:val="center"/>
      <w:rPr>
        <w:b/>
        <w:sz w:val="20"/>
      </w:rPr>
    </w:pPr>
    <w:r w:rsidRPr="002326EC">
      <w:rPr>
        <w:b/>
        <w:sz w:val="20"/>
      </w:rPr>
      <w:t xml:space="preserve">Identification of </w:t>
    </w:r>
    <w:smartTag w:uri="urn:schemas-microsoft-com:office:smarttags" w:element="place">
      <w:smartTag w:uri="urn:schemas-microsoft-com:office:smarttags" w:element="PlaceName">
        <w:r w:rsidRPr="002326EC">
          <w:rPr>
            <w:b/>
            <w:sz w:val="20"/>
          </w:rPr>
          <w:t>Primary</w:t>
        </w:r>
      </w:smartTag>
      <w:r w:rsidRPr="002326EC">
        <w:rPr>
          <w:b/>
          <w:sz w:val="20"/>
        </w:rPr>
        <w:t xml:space="preserve"> </w:t>
      </w:r>
      <w:smartTag w:uri="urn:schemas-microsoft-com:office:smarttags" w:element="PlaceType">
        <w:r w:rsidRPr="002326EC">
          <w:rPr>
            <w:b/>
            <w:sz w:val="20"/>
          </w:rPr>
          <w:t>State</w:t>
        </w:r>
      </w:smartTag>
    </w:smartTag>
    <w:r w:rsidRPr="002326EC">
      <w:rPr>
        <w:b/>
        <w:sz w:val="20"/>
      </w:rPr>
      <w:t xml:space="preserve"> and Federal Regulations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Pr>
        <w:b/>
        <w:caps/>
        <w:sz w:val="20"/>
      </w:rPr>
      <w:t>SECTION 4.  APPENDIX C</w:t>
    </w:r>
  </w:p>
  <w:p w:rsidR="009C7FDC" w:rsidRPr="003E663C" w:rsidRDefault="009C7FDC">
    <w:pPr>
      <w:pStyle w:val="Header"/>
      <w:tabs>
        <w:tab w:val="clear" w:pos="8640"/>
      </w:tabs>
      <w:spacing w:after="240"/>
      <w:jc w:val="center"/>
      <w:rPr>
        <w:b/>
        <w:sz w:val="20"/>
      </w:rPr>
    </w:pPr>
    <w:r w:rsidRPr="003E663C">
      <w:rPr>
        <w:b/>
        <w:sz w:val="20"/>
      </w:rPr>
      <w:t>General Testing Requirements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Default="009C7FDC">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FDC" w:rsidRPr="00784C5C" w:rsidRDefault="009C7FDC">
    <w:pPr>
      <w:pStyle w:val="Header"/>
      <w:pBdr>
        <w:bottom w:val="single" w:sz="4" w:space="1" w:color="auto"/>
      </w:pBdr>
      <w:tabs>
        <w:tab w:val="clear" w:pos="8640"/>
      </w:tabs>
      <w:jc w:val="center"/>
      <w:rPr>
        <w:b/>
        <w:caps/>
        <w:sz w:val="20"/>
      </w:rPr>
    </w:pPr>
    <w:r>
      <w:rPr>
        <w:b/>
        <w:caps/>
        <w:sz w:val="20"/>
      </w:rPr>
      <w:t>SECTION 4.  APPENDIX H</w:t>
    </w:r>
  </w:p>
  <w:p w:rsidR="009C7FDC" w:rsidRPr="003E663C" w:rsidRDefault="009C7FDC">
    <w:pPr>
      <w:pStyle w:val="Header"/>
      <w:tabs>
        <w:tab w:val="clear" w:pos="8640"/>
      </w:tabs>
      <w:spacing w:after="240"/>
      <w:jc w:val="center"/>
      <w:rPr>
        <w:b/>
        <w:caps/>
        <w:sz w:val="20"/>
      </w:rPr>
    </w:pPr>
    <w:r w:rsidRPr="003E663C">
      <w:rPr>
        <w:b/>
        <w:sz w:val="20"/>
      </w:rPr>
      <w:t>Compliance Assurance Monitoring Plan</w:t>
    </w:r>
    <w:r>
      <w:rPr>
        <w:b/>
        <w:sz w:val="20"/>
      </w:rPr>
      <w:t>, General Provisions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946101"/>
    <w:multiLevelType w:val="hybridMultilevel"/>
    <w:tmpl w:val="7E6EA4E4"/>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4252317"/>
    <w:multiLevelType w:val="hybridMultilevel"/>
    <w:tmpl w:val="BB567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821DD4"/>
    <w:multiLevelType w:val="hybridMultilevel"/>
    <w:tmpl w:val="28163572"/>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D4808"/>
    <w:multiLevelType w:val="singleLevel"/>
    <w:tmpl w:val="0409000F"/>
    <w:lvl w:ilvl="0">
      <w:start w:val="1"/>
      <w:numFmt w:val="decimal"/>
      <w:lvlText w:val="%1."/>
      <w:lvlJc w:val="left"/>
      <w:pPr>
        <w:tabs>
          <w:tab w:val="num" w:pos="360"/>
        </w:tabs>
        <w:ind w:left="360" w:hanging="36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F9A287C"/>
    <w:multiLevelType w:val="hybridMultilevel"/>
    <w:tmpl w:val="904AEAA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432"/>
        </w:tabs>
        <w:ind w:left="432" w:hanging="360"/>
      </w:pPr>
      <w:rPr>
        <w:rFonts w:ascii="Courier New" w:hAnsi="Courier New" w:cs="Courier New" w:hint="default"/>
      </w:rPr>
    </w:lvl>
    <w:lvl w:ilvl="2" w:tplc="04090005" w:tentative="1">
      <w:start w:val="1"/>
      <w:numFmt w:val="bullet"/>
      <w:lvlText w:val=""/>
      <w:lvlJc w:val="left"/>
      <w:pPr>
        <w:tabs>
          <w:tab w:val="num" w:pos="1152"/>
        </w:tabs>
        <w:ind w:left="1152" w:hanging="360"/>
      </w:pPr>
      <w:rPr>
        <w:rFonts w:ascii="Wingdings" w:hAnsi="Wingdings" w:hint="default"/>
      </w:rPr>
    </w:lvl>
    <w:lvl w:ilvl="3" w:tplc="04090001" w:tentative="1">
      <w:start w:val="1"/>
      <w:numFmt w:val="bullet"/>
      <w:lvlText w:val=""/>
      <w:lvlJc w:val="left"/>
      <w:pPr>
        <w:tabs>
          <w:tab w:val="num" w:pos="1872"/>
        </w:tabs>
        <w:ind w:left="1872" w:hanging="360"/>
      </w:pPr>
      <w:rPr>
        <w:rFonts w:ascii="Symbol" w:hAnsi="Symbol" w:hint="default"/>
      </w:rPr>
    </w:lvl>
    <w:lvl w:ilvl="4" w:tplc="04090003" w:tentative="1">
      <w:start w:val="1"/>
      <w:numFmt w:val="bullet"/>
      <w:lvlText w:val="o"/>
      <w:lvlJc w:val="left"/>
      <w:pPr>
        <w:tabs>
          <w:tab w:val="num" w:pos="2592"/>
        </w:tabs>
        <w:ind w:left="2592" w:hanging="360"/>
      </w:pPr>
      <w:rPr>
        <w:rFonts w:ascii="Courier New" w:hAnsi="Courier New" w:cs="Courier New" w:hint="default"/>
      </w:rPr>
    </w:lvl>
    <w:lvl w:ilvl="5" w:tplc="04090005" w:tentative="1">
      <w:start w:val="1"/>
      <w:numFmt w:val="bullet"/>
      <w:lvlText w:val=""/>
      <w:lvlJc w:val="left"/>
      <w:pPr>
        <w:tabs>
          <w:tab w:val="num" w:pos="3312"/>
        </w:tabs>
        <w:ind w:left="3312" w:hanging="360"/>
      </w:pPr>
      <w:rPr>
        <w:rFonts w:ascii="Wingdings" w:hAnsi="Wingdings" w:hint="default"/>
      </w:rPr>
    </w:lvl>
    <w:lvl w:ilvl="6" w:tplc="04090001" w:tentative="1">
      <w:start w:val="1"/>
      <w:numFmt w:val="bullet"/>
      <w:lvlText w:val=""/>
      <w:lvlJc w:val="left"/>
      <w:pPr>
        <w:tabs>
          <w:tab w:val="num" w:pos="4032"/>
        </w:tabs>
        <w:ind w:left="4032" w:hanging="360"/>
      </w:pPr>
      <w:rPr>
        <w:rFonts w:ascii="Symbol" w:hAnsi="Symbol" w:hint="default"/>
      </w:rPr>
    </w:lvl>
    <w:lvl w:ilvl="7" w:tplc="04090003" w:tentative="1">
      <w:start w:val="1"/>
      <w:numFmt w:val="bullet"/>
      <w:lvlText w:val="o"/>
      <w:lvlJc w:val="left"/>
      <w:pPr>
        <w:tabs>
          <w:tab w:val="num" w:pos="4752"/>
        </w:tabs>
        <w:ind w:left="4752" w:hanging="360"/>
      </w:pPr>
      <w:rPr>
        <w:rFonts w:ascii="Courier New" w:hAnsi="Courier New" w:cs="Courier New" w:hint="default"/>
      </w:rPr>
    </w:lvl>
    <w:lvl w:ilvl="8" w:tplc="04090005" w:tentative="1">
      <w:start w:val="1"/>
      <w:numFmt w:val="bullet"/>
      <w:lvlText w:val=""/>
      <w:lvlJc w:val="left"/>
      <w:pPr>
        <w:tabs>
          <w:tab w:val="num" w:pos="5472"/>
        </w:tabs>
        <w:ind w:left="5472" w:hanging="360"/>
      </w:pPr>
      <w:rPr>
        <w:rFonts w:ascii="Wingdings" w:hAnsi="Wingdings" w:hint="default"/>
      </w:rPr>
    </w:lvl>
  </w:abstractNum>
  <w:abstractNum w:abstractNumId="9">
    <w:nsid w:val="0FD62C5E"/>
    <w:multiLevelType w:val="hybridMultilevel"/>
    <w:tmpl w:val="006CA720"/>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E11C9E50">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0F00D7"/>
    <w:multiLevelType w:val="hybridMultilevel"/>
    <w:tmpl w:val="08286532"/>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3834F17"/>
    <w:multiLevelType w:val="hybridMultilevel"/>
    <w:tmpl w:val="DC6808EE"/>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010AF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nsid w:val="16F3219F"/>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879164A"/>
    <w:multiLevelType w:val="hybridMultilevel"/>
    <w:tmpl w:val="EFAAF75E"/>
    <w:lvl w:ilvl="0" w:tplc="0409000F">
      <w:start w:val="1"/>
      <w:numFmt w:val="decimal"/>
      <w:lvlText w:val="%1."/>
      <w:lvlJc w:val="left"/>
      <w:pPr>
        <w:tabs>
          <w:tab w:val="num" w:pos="360"/>
        </w:tabs>
        <w:ind w:left="360" w:hanging="360"/>
      </w:pPr>
    </w:lvl>
    <w:lvl w:ilvl="1" w:tplc="326496F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C28728E"/>
    <w:multiLevelType w:val="hybridMultilevel"/>
    <w:tmpl w:val="02CA7716"/>
    <w:lvl w:ilvl="0" w:tplc="1B5E24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F04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1E031E0D"/>
    <w:multiLevelType w:val="singleLevel"/>
    <w:tmpl w:val="0409000F"/>
    <w:lvl w:ilvl="0">
      <w:start w:val="1"/>
      <w:numFmt w:val="decimal"/>
      <w:lvlText w:val="%1."/>
      <w:lvlJc w:val="left"/>
      <w:pPr>
        <w:tabs>
          <w:tab w:val="num" w:pos="360"/>
        </w:tabs>
        <w:ind w:left="360" w:hanging="360"/>
      </w:pPr>
    </w:lvl>
  </w:abstractNum>
  <w:abstractNum w:abstractNumId="18">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105845"/>
    <w:multiLevelType w:val="hybridMultilevel"/>
    <w:tmpl w:val="34865B6E"/>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2D606668"/>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EF238A8"/>
    <w:multiLevelType w:val="hybridMultilevel"/>
    <w:tmpl w:val="771E2644"/>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5E1389B"/>
    <w:multiLevelType w:val="hybridMultilevel"/>
    <w:tmpl w:val="9BCC821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7">
    <w:nsid w:val="366B5E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6AD42D5"/>
    <w:multiLevelType w:val="hybridMultilevel"/>
    <w:tmpl w:val="2954E220"/>
    <w:lvl w:ilvl="0" w:tplc="0409000F">
      <w:start w:val="1"/>
      <w:numFmt w:val="decimal"/>
      <w:lvlText w:val="%1."/>
      <w:lvlJc w:val="left"/>
      <w:pPr>
        <w:tabs>
          <w:tab w:val="num" w:pos="360"/>
        </w:tabs>
        <w:ind w:left="360" w:hanging="360"/>
      </w:pPr>
      <w:rPr>
        <w:rFonts w:hint="default"/>
      </w:rPr>
    </w:lvl>
    <w:lvl w:ilvl="1" w:tplc="70C48EFA">
      <w:start w:val="1"/>
      <w:numFmt w:val="bullet"/>
      <w:lvlText w:val=""/>
      <w:lvlJc w:val="left"/>
      <w:pPr>
        <w:tabs>
          <w:tab w:val="num" w:pos="1080"/>
        </w:tabs>
        <w:ind w:left="1080" w:hanging="360"/>
      </w:pPr>
      <w:rPr>
        <w:rFonts w:ascii="Symbol" w:hAnsi="Symbol" w:hint="default"/>
      </w:rPr>
    </w:lvl>
    <w:lvl w:ilvl="2" w:tplc="745C69A4">
      <w:start w:val="1"/>
      <w:numFmt w:val="lowerLetter"/>
      <w:lvlText w:val="%3."/>
      <w:lvlJc w:val="left"/>
      <w:pPr>
        <w:tabs>
          <w:tab w:val="num" w:pos="2115"/>
        </w:tabs>
        <w:ind w:left="2115" w:hanging="495"/>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9202F2D"/>
    <w:multiLevelType w:val="hybridMultilevel"/>
    <w:tmpl w:val="30F45A1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1">
    <w:nsid w:val="3EEB0C30"/>
    <w:multiLevelType w:val="hybridMultilevel"/>
    <w:tmpl w:val="6BCE4D18"/>
    <w:lvl w:ilvl="0" w:tplc="2B42C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6D6792"/>
    <w:multiLevelType w:val="hybridMultilevel"/>
    <w:tmpl w:val="4B0EC600"/>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3">
    <w:nsid w:val="3FAA30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46BF48E3"/>
    <w:multiLevelType w:val="hybridMultilevel"/>
    <w:tmpl w:val="D808321E"/>
    <w:lvl w:ilvl="0" w:tplc="E41C98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9F50D13"/>
    <w:multiLevelType w:val="hybridMultilevel"/>
    <w:tmpl w:val="84E4A9D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7">
    <w:nsid w:val="4A8177C1"/>
    <w:multiLevelType w:val="hybridMultilevel"/>
    <w:tmpl w:val="CD385710"/>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AA01082"/>
    <w:multiLevelType w:val="hybridMultilevel"/>
    <w:tmpl w:val="F81294A4"/>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B2346A3"/>
    <w:multiLevelType w:val="hybridMultilevel"/>
    <w:tmpl w:val="4648A652"/>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DC2F6A"/>
    <w:multiLevelType w:val="hybridMultilevel"/>
    <w:tmpl w:val="3DBCE2BC"/>
    <w:lvl w:ilvl="0" w:tplc="8C0622DE">
      <w:start w:val="1"/>
      <w:numFmt w:val="bullet"/>
      <w:lvlText w:val=""/>
      <w:lvlJc w:val="left"/>
      <w:pPr>
        <w:tabs>
          <w:tab w:val="num" w:pos="720"/>
        </w:tabs>
        <w:ind w:left="720" w:hanging="360"/>
      </w:pPr>
      <w:rPr>
        <w:rFonts w:ascii="Symbol" w:hAnsi="Symbol" w:hint="default"/>
        <w:sz w:val="22"/>
      </w:rPr>
    </w:lvl>
    <w:lvl w:ilvl="1" w:tplc="AC441C54">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D21D8E"/>
    <w:multiLevelType w:val="hybridMultilevel"/>
    <w:tmpl w:val="4DBEF028"/>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FAF24C4"/>
    <w:multiLevelType w:val="hybridMultilevel"/>
    <w:tmpl w:val="93664A1C"/>
    <w:lvl w:ilvl="0" w:tplc="4E3A9D1A">
      <w:start w:val="1"/>
      <w:numFmt w:val="lowerLetter"/>
      <w:lvlText w:val="%1."/>
      <w:lvlJc w:val="left"/>
      <w:pPr>
        <w:tabs>
          <w:tab w:val="num" w:pos="720"/>
        </w:tabs>
        <w:ind w:left="720" w:hanging="360"/>
      </w:pPr>
      <w:rPr>
        <w:rFonts w:hint="default"/>
      </w:rPr>
    </w:lvl>
    <w:lvl w:ilvl="1" w:tplc="2D7A1682">
      <w:start w:val="1"/>
      <w:numFmt w:val="decimal"/>
      <w:lvlText w:val="%2."/>
      <w:lvlJc w:val="left"/>
      <w:pPr>
        <w:tabs>
          <w:tab w:val="num" w:pos="360"/>
        </w:tabs>
        <w:ind w:left="36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0047593"/>
    <w:multiLevelType w:val="hybridMultilevel"/>
    <w:tmpl w:val="9B34A752"/>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46C78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59735A5C"/>
    <w:multiLevelType w:val="hybridMultilevel"/>
    <w:tmpl w:val="3536DE6A"/>
    <w:lvl w:ilvl="0" w:tplc="AC441C54">
      <w:start w:val="1"/>
      <w:numFmt w:val="bullet"/>
      <w:lvlText w:val=""/>
      <w:lvlJc w:val="left"/>
      <w:pPr>
        <w:tabs>
          <w:tab w:val="num" w:pos="360"/>
        </w:tabs>
        <w:ind w:left="360" w:hanging="360"/>
      </w:pPr>
      <w:rPr>
        <w:rFonts w:ascii="Symbol" w:hAnsi="Symbol" w:hint="default"/>
        <w:sz w:val="22"/>
      </w:rPr>
    </w:lvl>
    <w:lvl w:ilvl="1" w:tplc="ECFC0A9E">
      <w:start w:val="1"/>
      <w:numFmt w:val="lowerLetter"/>
      <w:lvlText w:val="%2."/>
      <w:lvlJc w:val="left"/>
      <w:pPr>
        <w:tabs>
          <w:tab w:val="num" w:pos="720"/>
        </w:tabs>
        <w:ind w:left="720" w:hanging="360"/>
      </w:pPr>
      <w:rPr>
        <w:rFonts w:ascii="Times New Roman" w:hAnsi="Times New Roman" w:hint="default"/>
        <w:b w:val="0"/>
        <w:i w:val="0"/>
        <w:sz w:val="20"/>
      </w:rPr>
    </w:lvl>
    <w:lvl w:ilvl="2" w:tplc="04090005">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46">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5E6E796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8">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03F0EA1"/>
    <w:multiLevelType w:val="hybridMultilevel"/>
    <w:tmpl w:val="F87EA318"/>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2E77F54"/>
    <w:multiLevelType w:val="singleLevel"/>
    <w:tmpl w:val="8FAAE0BA"/>
    <w:lvl w:ilvl="0">
      <w:start w:val="1"/>
      <w:numFmt w:val="lowerLetter"/>
      <w:lvlText w:val="%1."/>
      <w:lvlJc w:val="left"/>
      <w:pPr>
        <w:tabs>
          <w:tab w:val="num" w:pos="360"/>
        </w:tabs>
        <w:ind w:left="360" w:hanging="360"/>
      </w:pPr>
    </w:lvl>
  </w:abstractNum>
  <w:abstractNum w:abstractNumId="51">
    <w:nsid w:val="687645D2"/>
    <w:multiLevelType w:val="hybridMultilevel"/>
    <w:tmpl w:val="D9AC29BC"/>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F403D7E"/>
    <w:multiLevelType w:val="hybridMultilevel"/>
    <w:tmpl w:val="92EA863E"/>
    <w:lvl w:ilvl="0" w:tplc="0D0AA0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4">
    <w:nsid w:val="700B18C0"/>
    <w:multiLevelType w:val="hybridMultilevel"/>
    <w:tmpl w:val="802A542A"/>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5A800F0"/>
    <w:multiLevelType w:val="hybridMultilevel"/>
    <w:tmpl w:val="9770119E"/>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A864005"/>
    <w:multiLevelType w:val="hybridMultilevel"/>
    <w:tmpl w:val="71A8A376"/>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D71D3E"/>
    <w:multiLevelType w:val="hybridMultilevel"/>
    <w:tmpl w:val="3DC2C2C4"/>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58">
    <w:nsid w:val="7E4F7DDB"/>
    <w:multiLevelType w:val="hybridMultilevel"/>
    <w:tmpl w:val="3B8614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2"/>
  </w:num>
  <w:num w:numId="3">
    <w:abstractNumId w:val="12"/>
  </w:num>
  <w:num w:numId="4">
    <w:abstractNumId w:val="44"/>
  </w:num>
  <w:num w:numId="5">
    <w:abstractNumId w:val="27"/>
  </w:num>
  <w:num w:numId="6">
    <w:abstractNumId w:val="33"/>
  </w:num>
  <w:num w:numId="7">
    <w:abstractNumId w:val="16"/>
  </w:num>
  <w:num w:numId="8">
    <w:abstractNumId w:val="47"/>
  </w:num>
  <w:num w:numId="9">
    <w:abstractNumId w:val="41"/>
  </w:num>
  <w:num w:numId="10">
    <w:abstractNumId w:val="23"/>
  </w:num>
  <w:num w:numId="11">
    <w:abstractNumId w:val="6"/>
  </w:num>
  <w:num w:numId="12">
    <w:abstractNumId w:val="17"/>
  </w:num>
  <w:num w:numId="13">
    <w:abstractNumId w:val="55"/>
  </w:num>
  <w:num w:numId="14">
    <w:abstractNumId w:val="8"/>
  </w:num>
  <w:num w:numId="15">
    <w:abstractNumId w:val="14"/>
  </w:num>
  <w:num w:numId="16">
    <w:abstractNumId w:val="28"/>
  </w:num>
  <w:num w:numId="17">
    <w:abstractNumId w:val="19"/>
  </w:num>
  <w:num w:numId="18">
    <w:abstractNumId w:val="49"/>
  </w:num>
  <w:num w:numId="19">
    <w:abstractNumId w:val="9"/>
  </w:num>
  <w:num w:numId="20">
    <w:abstractNumId w:val="43"/>
  </w:num>
  <w:num w:numId="21">
    <w:abstractNumId w:val="51"/>
  </w:num>
  <w:num w:numId="22">
    <w:abstractNumId w:val="54"/>
  </w:num>
  <w:num w:numId="23">
    <w:abstractNumId w:val="24"/>
  </w:num>
  <w:num w:numId="24">
    <w:abstractNumId w:val="50"/>
  </w:num>
  <w:num w:numId="25">
    <w:abstractNumId w:val="2"/>
  </w:num>
  <w:num w:numId="26">
    <w:abstractNumId w:val="46"/>
  </w:num>
  <w:num w:numId="27">
    <w:abstractNumId w:val="22"/>
  </w:num>
  <w:num w:numId="28">
    <w:abstractNumId w:val="5"/>
  </w:num>
  <w:num w:numId="29">
    <w:abstractNumId w:val="20"/>
  </w:num>
  <w:num w:numId="30">
    <w:abstractNumId w:val="29"/>
  </w:num>
  <w:num w:numId="31">
    <w:abstractNumId w:val="48"/>
  </w:num>
  <w:num w:numId="32">
    <w:abstractNumId w:val="25"/>
  </w:num>
  <w:num w:numId="33">
    <w:abstractNumId w:val="18"/>
  </w:num>
  <w:num w:numId="34">
    <w:abstractNumId w:val="7"/>
  </w:num>
  <w:num w:numId="35">
    <w:abstractNumId w:val="35"/>
  </w:num>
  <w:num w:numId="36">
    <w:abstractNumId w:val="52"/>
  </w:num>
  <w:num w:numId="37">
    <w:abstractNumId w:val="21"/>
  </w:num>
  <w:num w:numId="38">
    <w:abstractNumId w:val="11"/>
  </w:num>
  <w:num w:numId="39">
    <w:abstractNumId w:val="31"/>
  </w:num>
  <w:num w:numId="40">
    <w:abstractNumId w:val="34"/>
  </w:num>
  <w:num w:numId="41">
    <w:abstractNumId w:val="36"/>
  </w:num>
  <w:num w:numId="42">
    <w:abstractNumId w:val="26"/>
  </w:num>
  <w:num w:numId="43">
    <w:abstractNumId w:val="57"/>
  </w:num>
  <w:num w:numId="44">
    <w:abstractNumId w:val="30"/>
  </w:num>
  <w:num w:numId="45">
    <w:abstractNumId w:val="32"/>
  </w:num>
  <w:num w:numId="46">
    <w:abstractNumId w:val="45"/>
  </w:num>
  <w:num w:numId="47">
    <w:abstractNumId w:val="40"/>
  </w:num>
  <w:num w:numId="48">
    <w:abstractNumId w:val="38"/>
  </w:num>
  <w:num w:numId="49">
    <w:abstractNumId w:val="39"/>
  </w:num>
  <w:num w:numId="50">
    <w:abstractNumId w:val="1"/>
  </w:num>
  <w:num w:numId="51">
    <w:abstractNumId w:val="10"/>
  </w:num>
  <w:num w:numId="52">
    <w:abstractNumId w:val="15"/>
  </w:num>
  <w:num w:numId="53">
    <w:abstractNumId w:val="53"/>
  </w:num>
  <w:num w:numId="54">
    <w:abstractNumId w:val="56"/>
  </w:num>
  <w:num w:numId="55">
    <w:abstractNumId w:val="3"/>
  </w:num>
  <w:num w:numId="56">
    <w:abstractNumId w:val="13"/>
  </w:num>
  <w:num w:numId="57">
    <w:abstractNumId w:val="4"/>
  </w:num>
  <w:num w:numId="58">
    <w:abstractNumId w:val="37"/>
  </w:num>
  <w:num w:numId="59">
    <w:abstractNumId w:val="58"/>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360"/>
  <w:doNotHyphenateCaps/>
  <w:drawingGridHorizontalSpacing w:val="110"/>
  <w:displayHorizontalDrawingGridEvery w:val="0"/>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rsids>
    <w:rsidRoot w:val="004063D4"/>
    <w:rsid w:val="00001714"/>
    <w:rsid w:val="00001E1A"/>
    <w:rsid w:val="000031BD"/>
    <w:rsid w:val="0000772B"/>
    <w:rsid w:val="00015B21"/>
    <w:rsid w:val="000171BF"/>
    <w:rsid w:val="00023CA5"/>
    <w:rsid w:val="00036098"/>
    <w:rsid w:val="000375B2"/>
    <w:rsid w:val="00042D79"/>
    <w:rsid w:val="000431FF"/>
    <w:rsid w:val="00043E04"/>
    <w:rsid w:val="00045721"/>
    <w:rsid w:val="0005668A"/>
    <w:rsid w:val="00061C7E"/>
    <w:rsid w:val="000766F1"/>
    <w:rsid w:val="000870DC"/>
    <w:rsid w:val="00090E91"/>
    <w:rsid w:val="00091C89"/>
    <w:rsid w:val="000950DA"/>
    <w:rsid w:val="0009688D"/>
    <w:rsid w:val="000A4026"/>
    <w:rsid w:val="000A6394"/>
    <w:rsid w:val="000C46CF"/>
    <w:rsid w:val="000C6399"/>
    <w:rsid w:val="000D2E39"/>
    <w:rsid w:val="000E2C20"/>
    <w:rsid w:val="000F20C5"/>
    <w:rsid w:val="000F3EDC"/>
    <w:rsid w:val="00102D61"/>
    <w:rsid w:val="00106367"/>
    <w:rsid w:val="0011239E"/>
    <w:rsid w:val="00113D2C"/>
    <w:rsid w:val="00115DAB"/>
    <w:rsid w:val="00125861"/>
    <w:rsid w:val="0013077D"/>
    <w:rsid w:val="00131F11"/>
    <w:rsid w:val="001343DE"/>
    <w:rsid w:val="00134664"/>
    <w:rsid w:val="00134AB4"/>
    <w:rsid w:val="00135AA8"/>
    <w:rsid w:val="00144851"/>
    <w:rsid w:val="00144A6C"/>
    <w:rsid w:val="001463BC"/>
    <w:rsid w:val="00154705"/>
    <w:rsid w:val="001669EB"/>
    <w:rsid w:val="0017242B"/>
    <w:rsid w:val="00177F11"/>
    <w:rsid w:val="00182FFC"/>
    <w:rsid w:val="00192AA5"/>
    <w:rsid w:val="00193CD9"/>
    <w:rsid w:val="001A310B"/>
    <w:rsid w:val="001B0034"/>
    <w:rsid w:val="001B1064"/>
    <w:rsid w:val="001B1C90"/>
    <w:rsid w:val="001B498C"/>
    <w:rsid w:val="001B4F04"/>
    <w:rsid w:val="001B6824"/>
    <w:rsid w:val="001C361F"/>
    <w:rsid w:val="001C642B"/>
    <w:rsid w:val="001D4427"/>
    <w:rsid w:val="001D5883"/>
    <w:rsid w:val="001E37A1"/>
    <w:rsid w:val="001F2D71"/>
    <w:rsid w:val="00203796"/>
    <w:rsid w:val="00207DFC"/>
    <w:rsid w:val="0021206A"/>
    <w:rsid w:val="00214E99"/>
    <w:rsid w:val="0022054B"/>
    <w:rsid w:val="00222D08"/>
    <w:rsid w:val="002309B8"/>
    <w:rsid w:val="002326EC"/>
    <w:rsid w:val="00235244"/>
    <w:rsid w:val="00237D7D"/>
    <w:rsid w:val="00237EE0"/>
    <w:rsid w:val="00244809"/>
    <w:rsid w:val="00251ECD"/>
    <w:rsid w:val="00252513"/>
    <w:rsid w:val="00262677"/>
    <w:rsid w:val="00272C17"/>
    <w:rsid w:val="00282C29"/>
    <w:rsid w:val="00283735"/>
    <w:rsid w:val="00284758"/>
    <w:rsid w:val="00286A72"/>
    <w:rsid w:val="00286ED1"/>
    <w:rsid w:val="00287B7E"/>
    <w:rsid w:val="00290B6F"/>
    <w:rsid w:val="002963C3"/>
    <w:rsid w:val="00296B0B"/>
    <w:rsid w:val="002A316F"/>
    <w:rsid w:val="002A6166"/>
    <w:rsid w:val="002B0C9D"/>
    <w:rsid w:val="002B1AFD"/>
    <w:rsid w:val="002B23FA"/>
    <w:rsid w:val="002B31C6"/>
    <w:rsid w:val="002B649E"/>
    <w:rsid w:val="002C0095"/>
    <w:rsid w:val="002C619E"/>
    <w:rsid w:val="002C65C1"/>
    <w:rsid w:val="002C69EB"/>
    <w:rsid w:val="002D0509"/>
    <w:rsid w:val="002D11AB"/>
    <w:rsid w:val="002E070E"/>
    <w:rsid w:val="002E2104"/>
    <w:rsid w:val="002F2290"/>
    <w:rsid w:val="002F5F46"/>
    <w:rsid w:val="002F6196"/>
    <w:rsid w:val="0030523E"/>
    <w:rsid w:val="00307E0E"/>
    <w:rsid w:val="00311211"/>
    <w:rsid w:val="00313B5D"/>
    <w:rsid w:val="00314D04"/>
    <w:rsid w:val="00314D2A"/>
    <w:rsid w:val="0032286E"/>
    <w:rsid w:val="003415F0"/>
    <w:rsid w:val="00341CCE"/>
    <w:rsid w:val="00347BAD"/>
    <w:rsid w:val="00350EBF"/>
    <w:rsid w:val="00356E99"/>
    <w:rsid w:val="0036167B"/>
    <w:rsid w:val="00361FCA"/>
    <w:rsid w:val="00365D2F"/>
    <w:rsid w:val="00366F93"/>
    <w:rsid w:val="003710E8"/>
    <w:rsid w:val="00373FD5"/>
    <w:rsid w:val="0037512C"/>
    <w:rsid w:val="0038342A"/>
    <w:rsid w:val="00392928"/>
    <w:rsid w:val="003935AF"/>
    <w:rsid w:val="00393E5F"/>
    <w:rsid w:val="003A1577"/>
    <w:rsid w:val="003A25B1"/>
    <w:rsid w:val="003A568B"/>
    <w:rsid w:val="003C2385"/>
    <w:rsid w:val="003C2A85"/>
    <w:rsid w:val="003C580D"/>
    <w:rsid w:val="003D4B21"/>
    <w:rsid w:val="003D7D61"/>
    <w:rsid w:val="003E0710"/>
    <w:rsid w:val="003E1D54"/>
    <w:rsid w:val="003E3252"/>
    <w:rsid w:val="003E663C"/>
    <w:rsid w:val="003E74F2"/>
    <w:rsid w:val="003F1177"/>
    <w:rsid w:val="003F5EDC"/>
    <w:rsid w:val="004063D4"/>
    <w:rsid w:val="004103A4"/>
    <w:rsid w:val="004140C5"/>
    <w:rsid w:val="00420172"/>
    <w:rsid w:val="00426035"/>
    <w:rsid w:val="00427E99"/>
    <w:rsid w:val="0043084E"/>
    <w:rsid w:val="004343D1"/>
    <w:rsid w:val="00443BB2"/>
    <w:rsid w:val="0044551D"/>
    <w:rsid w:val="004511B9"/>
    <w:rsid w:val="0045189B"/>
    <w:rsid w:val="00452F6A"/>
    <w:rsid w:val="00454F2B"/>
    <w:rsid w:val="00480618"/>
    <w:rsid w:val="00484BAC"/>
    <w:rsid w:val="0048665A"/>
    <w:rsid w:val="00490574"/>
    <w:rsid w:val="004912DE"/>
    <w:rsid w:val="004A260D"/>
    <w:rsid w:val="004A5887"/>
    <w:rsid w:val="004B305F"/>
    <w:rsid w:val="004B3FDA"/>
    <w:rsid w:val="004C52E7"/>
    <w:rsid w:val="004D12F8"/>
    <w:rsid w:val="004D23A2"/>
    <w:rsid w:val="004D4DC9"/>
    <w:rsid w:val="004D504B"/>
    <w:rsid w:val="004D70B2"/>
    <w:rsid w:val="004E0FA1"/>
    <w:rsid w:val="004E2829"/>
    <w:rsid w:val="004E3880"/>
    <w:rsid w:val="004E7608"/>
    <w:rsid w:val="004E7BB6"/>
    <w:rsid w:val="004F00BC"/>
    <w:rsid w:val="004F4CD5"/>
    <w:rsid w:val="00504D3C"/>
    <w:rsid w:val="005108AD"/>
    <w:rsid w:val="005137BB"/>
    <w:rsid w:val="00520EF4"/>
    <w:rsid w:val="00521A5F"/>
    <w:rsid w:val="00522FE8"/>
    <w:rsid w:val="00523C24"/>
    <w:rsid w:val="00526532"/>
    <w:rsid w:val="00531F23"/>
    <w:rsid w:val="0054727B"/>
    <w:rsid w:val="005637C1"/>
    <w:rsid w:val="005714BE"/>
    <w:rsid w:val="00572C7E"/>
    <w:rsid w:val="005802F4"/>
    <w:rsid w:val="005831CE"/>
    <w:rsid w:val="00590ED0"/>
    <w:rsid w:val="00593CA1"/>
    <w:rsid w:val="0059513E"/>
    <w:rsid w:val="0059600D"/>
    <w:rsid w:val="005967AA"/>
    <w:rsid w:val="005978A7"/>
    <w:rsid w:val="00597A40"/>
    <w:rsid w:val="005A2AB6"/>
    <w:rsid w:val="005A3087"/>
    <w:rsid w:val="005A6E5C"/>
    <w:rsid w:val="005B1BDC"/>
    <w:rsid w:val="005B2531"/>
    <w:rsid w:val="005C1900"/>
    <w:rsid w:val="005C3EAD"/>
    <w:rsid w:val="005C75C5"/>
    <w:rsid w:val="005C7DC6"/>
    <w:rsid w:val="005D01CB"/>
    <w:rsid w:val="005D3AA3"/>
    <w:rsid w:val="005E3039"/>
    <w:rsid w:val="005F46C4"/>
    <w:rsid w:val="005F74AC"/>
    <w:rsid w:val="00600BA0"/>
    <w:rsid w:val="00604D44"/>
    <w:rsid w:val="00605F47"/>
    <w:rsid w:val="00607CF1"/>
    <w:rsid w:val="006107B8"/>
    <w:rsid w:val="006120FA"/>
    <w:rsid w:val="00612AD3"/>
    <w:rsid w:val="006143E0"/>
    <w:rsid w:val="006153B3"/>
    <w:rsid w:val="00615AEB"/>
    <w:rsid w:val="006163A6"/>
    <w:rsid w:val="00616E59"/>
    <w:rsid w:val="00621A07"/>
    <w:rsid w:val="006331AB"/>
    <w:rsid w:val="006352DA"/>
    <w:rsid w:val="0063552A"/>
    <w:rsid w:val="0063713D"/>
    <w:rsid w:val="006420AC"/>
    <w:rsid w:val="006425C8"/>
    <w:rsid w:val="00646D7A"/>
    <w:rsid w:val="00647B77"/>
    <w:rsid w:val="00650CEE"/>
    <w:rsid w:val="006535D8"/>
    <w:rsid w:val="006613DE"/>
    <w:rsid w:val="00661E07"/>
    <w:rsid w:val="00666694"/>
    <w:rsid w:val="00684548"/>
    <w:rsid w:val="00693B6E"/>
    <w:rsid w:val="006A4A02"/>
    <w:rsid w:val="006B7892"/>
    <w:rsid w:val="006C2762"/>
    <w:rsid w:val="006D1866"/>
    <w:rsid w:val="006D1CD7"/>
    <w:rsid w:val="006D5319"/>
    <w:rsid w:val="006E1585"/>
    <w:rsid w:val="006E28AE"/>
    <w:rsid w:val="006E4DD4"/>
    <w:rsid w:val="006E558B"/>
    <w:rsid w:val="006E6160"/>
    <w:rsid w:val="006E7EC7"/>
    <w:rsid w:val="006F0FAA"/>
    <w:rsid w:val="006F21AF"/>
    <w:rsid w:val="0070644A"/>
    <w:rsid w:val="007147BE"/>
    <w:rsid w:val="0071486D"/>
    <w:rsid w:val="00716EE1"/>
    <w:rsid w:val="007178F8"/>
    <w:rsid w:val="00741B65"/>
    <w:rsid w:val="00741BBA"/>
    <w:rsid w:val="00747790"/>
    <w:rsid w:val="00747F17"/>
    <w:rsid w:val="00752856"/>
    <w:rsid w:val="007548ED"/>
    <w:rsid w:val="00771E55"/>
    <w:rsid w:val="007736E9"/>
    <w:rsid w:val="0078301A"/>
    <w:rsid w:val="00783D97"/>
    <w:rsid w:val="00784C5C"/>
    <w:rsid w:val="00796537"/>
    <w:rsid w:val="00797EFD"/>
    <w:rsid w:val="007B1B33"/>
    <w:rsid w:val="007B32E4"/>
    <w:rsid w:val="007B422A"/>
    <w:rsid w:val="007B549D"/>
    <w:rsid w:val="007C180A"/>
    <w:rsid w:val="007D1D91"/>
    <w:rsid w:val="007D66F5"/>
    <w:rsid w:val="007E01FC"/>
    <w:rsid w:val="007E0967"/>
    <w:rsid w:val="007E1FC1"/>
    <w:rsid w:val="007F282C"/>
    <w:rsid w:val="007F2A46"/>
    <w:rsid w:val="00804F71"/>
    <w:rsid w:val="00806EBA"/>
    <w:rsid w:val="00812AE5"/>
    <w:rsid w:val="00815875"/>
    <w:rsid w:val="008222B5"/>
    <w:rsid w:val="00823BDB"/>
    <w:rsid w:val="00830247"/>
    <w:rsid w:val="00833A2C"/>
    <w:rsid w:val="00835341"/>
    <w:rsid w:val="00846DFF"/>
    <w:rsid w:val="008472FB"/>
    <w:rsid w:val="00852DF4"/>
    <w:rsid w:val="00853327"/>
    <w:rsid w:val="00855C57"/>
    <w:rsid w:val="008561AB"/>
    <w:rsid w:val="00860FBE"/>
    <w:rsid w:val="008619EA"/>
    <w:rsid w:val="00863E13"/>
    <w:rsid w:val="00864EEA"/>
    <w:rsid w:val="0087086A"/>
    <w:rsid w:val="00872587"/>
    <w:rsid w:val="00872FC1"/>
    <w:rsid w:val="00875F22"/>
    <w:rsid w:val="00877285"/>
    <w:rsid w:val="008820D1"/>
    <w:rsid w:val="008845F6"/>
    <w:rsid w:val="00885253"/>
    <w:rsid w:val="00886326"/>
    <w:rsid w:val="00887099"/>
    <w:rsid w:val="00891539"/>
    <w:rsid w:val="00892358"/>
    <w:rsid w:val="00895D52"/>
    <w:rsid w:val="008A35C3"/>
    <w:rsid w:val="008A46F3"/>
    <w:rsid w:val="008B1883"/>
    <w:rsid w:val="008B7CA9"/>
    <w:rsid w:val="008D1D5A"/>
    <w:rsid w:val="008D623C"/>
    <w:rsid w:val="008E405C"/>
    <w:rsid w:val="008F3C53"/>
    <w:rsid w:val="0090162E"/>
    <w:rsid w:val="00905592"/>
    <w:rsid w:val="009065A6"/>
    <w:rsid w:val="0091048B"/>
    <w:rsid w:val="0091504E"/>
    <w:rsid w:val="00920A4E"/>
    <w:rsid w:val="00924FC7"/>
    <w:rsid w:val="00926480"/>
    <w:rsid w:val="00932A7E"/>
    <w:rsid w:val="00942501"/>
    <w:rsid w:val="0094373B"/>
    <w:rsid w:val="009469F3"/>
    <w:rsid w:val="00951E08"/>
    <w:rsid w:val="0095296E"/>
    <w:rsid w:val="0095463E"/>
    <w:rsid w:val="00954975"/>
    <w:rsid w:val="00954DC8"/>
    <w:rsid w:val="00955A7C"/>
    <w:rsid w:val="0096013E"/>
    <w:rsid w:val="0096075A"/>
    <w:rsid w:val="00962372"/>
    <w:rsid w:val="009674B4"/>
    <w:rsid w:val="009715C1"/>
    <w:rsid w:val="00972076"/>
    <w:rsid w:val="009729BA"/>
    <w:rsid w:val="00980686"/>
    <w:rsid w:val="00990AF1"/>
    <w:rsid w:val="009943E2"/>
    <w:rsid w:val="009A757E"/>
    <w:rsid w:val="009B30BA"/>
    <w:rsid w:val="009B3471"/>
    <w:rsid w:val="009C760C"/>
    <w:rsid w:val="009C7FDC"/>
    <w:rsid w:val="009D374D"/>
    <w:rsid w:val="009E1B26"/>
    <w:rsid w:val="009E49EC"/>
    <w:rsid w:val="009E78CF"/>
    <w:rsid w:val="009F00AF"/>
    <w:rsid w:val="009F4978"/>
    <w:rsid w:val="009F70BF"/>
    <w:rsid w:val="00A006EE"/>
    <w:rsid w:val="00A13980"/>
    <w:rsid w:val="00A20807"/>
    <w:rsid w:val="00A20FE7"/>
    <w:rsid w:val="00A2416E"/>
    <w:rsid w:val="00A26E02"/>
    <w:rsid w:val="00A3020A"/>
    <w:rsid w:val="00A31DE1"/>
    <w:rsid w:val="00A354C5"/>
    <w:rsid w:val="00A35818"/>
    <w:rsid w:val="00A416DD"/>
    <w:rsid w:val="00A438E8"/>
    <w:rsid w:val="00A46B02"/>
    <w:rsid w:val="00A51AC2"/>
    <w:rsid w:val="00A53974"/>
    <w:rsid w:val="00A626C6"/>
    <w:rsid w:val="00A6634D"/>
    <w:rsid w:val="00A67E0B"/>
    <w:rsid w:val="00A77799"/>
    <w:rsid w:val="00A82B74"/>
    <w:rsid w:val="00A82CD1"/>
    <w:rsid w:val="00A83AD6"/>
    <w:rsid w:val="00A844B3"/>
    <w:rsid w:val="00A868A8"/>
    <w:rsid w:val="00A90888"/>
    <w:rsid w:val="00A93F9C"/>
    <w:rsid w:val="00A945C3"/>
    <w:rsid w:val="00A94F79"/>
    <w:rsid w:val="00A97666"/>
    <w:rsid w:val="00A9766A"/>
    <w:rsid w:val="00AA16AB"/>
    <w:rsid w:val="00AA70E5"/>
    <w:rsid w:val="00AB1A93"/>
    <w:rsid w:val="00AB455F"/>
    <w:rsid w:val="00AB4A48"/>
    <w:rsid w:val="00AC3BD2"/>
    <w:rsid w:val="00AC4692"/>
    <w:rsid w:val="00AC6580"/>
    <w:rsid w:val="00AD1560"/>
    <w:rsid w:val="00AD40A3"/>
    <w:rsid w:val="00AD6481"/>
    <w:rsid w:val="00AE14C4"/>
    <w:rsid w:val="00AE5191"/>
    <w:rsid w:val="00AF1DF4"/>
    <w:rsid w:val="00AF3D0D"/>
    <w:rsid w:val="00AF7F0C"/>
    <w:rsid w:val="00B025E2"/>
    <w:rsid w:val="00B0626E"/>
    <w:rsid w:val="00B1013C"/>
    <w:rsid w:val="00B13EF1"/>
    <w:rsid w:val="00B15719"/>
    <w:rsid w:val="00B17009"/>
    <w:rsid w:val="00B21898"/>
    <w:rsid w:val="00B22BA9"/>
    <w:rsid w:val="00B23811"/>
    <w:rsid w:val="00B250DD"/>
    <w:rsid w:val="00B25F56"/>
    <w:rsid w:val="00B32CA2"/>
    <w:rsid w:val="00B33CC9"/>
    <w:rsid w:val="00B33F18"/>
    <w:rsid w:val="00B36DDB"/>
    <w:rsid w:val="00B404CD"/>
    <w:rsid w:val="00B4600B"/>
    <w:rsid w:val="00B466A2"/>
    <w:rsid w:val="00B51619"/>
    <w:rsid w:val="00B53104"/>
    <w:rsid w:val="00B54F4F"/>
    <w:rsid w:val="00B64AE2"/>
    <w:rsid w:val="00B75F35"/>
    <w:rsid w:val="00B8138D"/>
    <w:rsid w:val="00B86142"/>
    <w:rsid w:val="00B92B91"/>
    <w:rsid w:val="00B9651A"/>
    <w:rsid w:val="00B96F44"/>
    <w:rsid w:val="00BA03B7"/>
    <w:rsid w:val="00BA5928"/>
    <w:rsid w:val="00BA5F19"/>
    <w:rsid w:val="00BA7344"/>
    <w:rsid w:val="00BA7566"/>
    <w:rsid w:val="00BB084F"/>
    <w:rsid w:val="00BB2469"/>
    <w:rsid w:val="00BB5660"/>
    <w:rsid w:val="00BC6FD9"/>
    <w:rsid w:val="00BD06FF"/>
    <w:rsid w:val="00BD0FB1"/>
    <w:rsid w:val="00BD72F9"/>
    <w:rsid w:val="00BD73A8"/>
    <w:rsid w:val="00BD74B1"/>
    <w:rsid w:val="00BE320F"/>
    <w:rsid w:val="00BE64C7"/>
    <w:rsid w:val="00BE6575"/>
    <w:rsid w:val="00BE791D"/>
    <w:rsid w:val="00BF3010"/>
    <w:rsid w:val="00BF4A1D"/>
    <w:rsid w:val="00C01968"/>
    <w:rsid w:val="00C12780"/>
    <w:rsid w:val="00C14FF9"/>
    <w:rsid w:val="00C205F8"/>
    <w:rsid w:val="00C24CFD"/>
    <w:rsid w:val="00C36B10"/>
    <w:rsid w:val="00C37FBE"/>
    <w:rsid w:val="00C43174"/>
    <w:rsid w:val="00C4715F"/>
    <w:rsid w:val="00C5199F"/>
    <w:rsid w:val="00C538EA"/>
    <w:rsid w:val="00C64365"/>
    <w:rsid w:val="00C66313"/>
    <w:rsid w:val="00C66725"/>
    <w:rsid w:val="00C7186D"/>
    <w:rsid w:val="00C87F7E"/>
    <w:rsid w:val="00C903A4"/>
    <w:rsid w:val="00C92EBF"/>
    <w:rsid w:val="00C93C00"/>
    <w:rsid w:val="00C94157"/>
    <w:rsid w:val="00CA0D76"/>
    <w:rsid w:val="00CA1459"/>
    <w:rsid w:val="00CA1494"/>
    <w:rsid w:val="00CA19A6"/>
    <w:rsid w:val="00CA6864"/>
    <w:rsid w:val="00CA74D9"/>
    <w:rsid w:val="00CB0135"/>
    <w:rsid w:val="00CB209B"/>
    <w:rsid w:val="00CB3F64"/>
    <w:rsid w:val="00CC3A21"/>
    <w:rsid w:val="00CD1EC9"/>
    <w:rsid w:val="00CD2889"/>
    <w:rsid w:val="00CD507E"/>
    <w:rsid w:val="00CD57BC"/>
    <w:rsid w:val="00CE755B"/>
    <w:rsid w:val="00CF01F5"/>
    <w:rsid w:val="00CF107F"/>
    <w:rsid w:val="00CF4956"/>
    <w:rsid w:val="00D01F45"/>
    <w:rsid w:val="00D02744"/>
    <w:rsid w:val="00D039C9"/>
    <w:rsid w:val="00D07568"/>
    <w:rsid w:val="00D11A7D"/>
    <w:rsid w:val="00D15BD0"/>
    <w:rsid w:val="00D21578"/>
    <w:rsid w:val="00D27AE4"/>
    <w:rsid w:val="00D30B67"/>
    <w:rsid w:val="00D315F7"/>
    <w:rsid w:val="00D345E8"/>
    <w:rsid w:val="00D36B77"/>
    <w:rsid w:val="00D36EFA"/>
    <w:rsid w:val="00D44443"/>
    <w:rsid w:val="00D54736"/>
    <w:rsid w:val="00D71FFB"/>
    <w:rsid w:val="00D72206"/>
    <w:rsid w:val="00D728AF"/>
    <w:rsid w:val="00D77EB5"/>
    <w:rsid w:val="00D83C70"/>
    <w:rsid w:val="00D87599"/>
    <w:rsid w:val="00D92775"/>
    <w:rsid w:val="00D94294"/>
    <w:rsid w:val="00DA21EA"/>
    <w:rsid w:val="00DA286E"/>
    <w:rsid w:val="00DA5757"/>
    <w:rsid w:val="00DA5BE2"/>
    <w:rsid w:val="00DB46B9"/>
    <w:rsid w:val="00DB77F1"/>
    <w:rsid w:val="00DC0977"/>
    <w:rsid w:val="00DC56F1"/>
    <w:rsid w:val="00DC7E93"/>
    <w:rsid w:val="00DD0AB8"/>
    <w:rsid w:val="00DD119B"/>
    <w:rsid w:val="00DD42AB"/>
    <w:rsid w:val="00DD4B9D"/>
    <w:rsid w:val="00DD53F7"/>
    <w:rsid w:val="00DD5AAD"/>
    <w:rsid w:val="00DD62A7"/>
    <w:rsid w:val="00DE25EE"/>
    <w:rsid w:val="00DE3CAE"/>
    <w:rsid w:val="00DF1C96"/>
    <w:rsid w:val="00DF2943"/>
    <w:rsid w:val="00DF7669"/>
    <w:rsid w:val="00E015F1"/>
    <w:rsid w:val="00E07A5B"/>
    <w:rsid w:val="00E07E38"/>
    <w:rsid w:val="00E101D7"/>
    <w:rsid w:val="00E23508"/>
    <w:rsid w:val="00E244DD"/>
    <w:rsid w:val="00E30FC8"/>
    <w:rsid w:val="00E40AF2"/>
    <w:rsid w:val="00E5168B"/>
    <w:rsid w:val="00E547A0"/>
    <w:rsid w:val="00E55D5C"/>
    <w:rsid w:val="00E61202"/>
    <w:rsid w:val="00E64FFE"/>
    <w:rsid w:val="00E661F7"/>
    <w:rsid w:val="00E727A2"/>
    <w:rsid w:val="00E73A35"/>
    <w:rsid w:val="00E75DDC"/>
    <w:rsid w:val="00E86F7A"/>
    <w:rsid w:val="00E94A8B"/>
    <w:rsid w:val="00E96AA1"/>
    <w:rsid w:val="00EA017B"/>
    <w:rsid w:val="00EA46CF"/>
    <w:rsid w:val="00EC152B"/>
    <w:rsid w:val="00EC169B"/>
    <w:rsid w:val="00EC1A3C"/>
    <w:rsid w:val="00EC5AC9"/>
    <w:rsid w:val="00ED041F"/>
    <w:rsid w:val="00ED1385"/>
    <w:rsid w:val="00ED5C2A"/>
    <w:rsid w:val="00ED6CB7"/>
    <w:rsid w:val="00EE028B"/>
    <w:rsid w:val="00EF3762"/>
    <w:rsid w:val="00EF55BE"/>
    <w:rsid w:val="00EF6ED2"/>
    <w:rsid w:val="00EF701D"/>
    <w:rsid w:val="00F00E9B"/>
    <w:rsid w:val="00F0171B"/>
    <w:rsid w:val="00F06282"/>
    <w:rsid w:val="00F1020B"/>
    <w:rsid w:val="00F1057F"/>
    <w:rsid w:val="00F24906"/>
    <w:rsid w:val="00F36833"/>
    <w:rsid w:val="00F4324A"/>
    <w:rsid w:val="00F43806"/>
    <w:rsid w:val="00F47B5B"/>
    <w:rsid w:val="00F52FA2"/>
    <w:rsid w:val="00F541A1"/>
    <w:rsid w:val="00F57F05"/>
    <w:rsid w:val="00F61308"/>
    <w:rsid w:val="00F6197D"/>
    <w:rsid w:val="00F64807"/>
    <w:rsid w:val="00F728C3"/>
    <w:rsid w:val="00F73332"/>
    <w:rsid w:val="00F77414"/>
    <w:rsid w:val="00F815AC"/>
    <w:rsid w:val="00F86782"/>
    <w:rsid w:val="00F92BED"/>
    <w:rsid w:val="00FA4EAE"/>
    <w:rsid w:val="00FB0F77"/>
    <w:rsid w:val="00FB4270"/>
    <w:rsid w:val="00FC3EBD"/>
    <w:rsid w:val="00FC608C"/>
    <w:rsid w:val="00FC6AA5"/>
    <w:rsid w:val="00FE13B0"/>
    <w:rsid w:val="00FE1DB8"/>
    <w:rsid w:val="00FE38BF"/>
    <w:rsid w:val="00FE5862"/>
    <w:rsid w:val="00FE6B46"/>
    <w:rsid w:val="00FE7E48"/>
    <w:rsid w:val="00FF27B5"/>
    <w:rsid w:val="00FF5C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FFB"/>
    <w:rPr>
      <w:sz w:val="22"/>
    </w:rPr>
  </w:style>
  <w:style w:type="paragraph" w:styleId="Heading1">
    <w:name w:val="heading 1"/>
    <w:basedOn w:val="Normal"/>
    <w:next w:val="Normal"/>
    <w:link w:val="Heading1Char"/>
    <w:uiPriority w:val="9"/>
    <w:qFormat/>
    <w:rsid w:val="00D71FFB"/>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71FFB"/>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71FF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71FFB"/>
    <w:pPr>
      <w:keepNext/>
      <w:spacing w:after="120"/>
      <w:jc w:val="both"/>
      <w:outlineLvl w:val="3"/>
    </w:pPr>
    <w:rPr>
      <w:b/>
      <w:smallCaps/>
    </w:rPr>
  </w:style>
  <w:style w:type="paragraph" w:styleId="Heading5">
    <w:name w:val="heading 5"/>
    <w:basedOn w:val="Normal"/>
    <w:next w:val="Normal"/>
    <w:link w:val="Heading5Char"/>
    <w:uiPriority w:val="9"/>
    <w:qFormat/>
    <w:rsid w:val="00D71FFB"/>
    <w:pPr>
      <w:keepNext/>
      <w:ind w:left="720" w:hanging="720"/>
      <w:jc w:val="center"/>
      <w:outlineLvl w:val="4"/>
    </w:pPr>
    <w:rPr>
      <w:b/>
      <w:caps/>
    </w:rPr>
  </w:style>
  <w:style w:type="paragraph" w:styleId="Heading6">
    <w:name w:val="heading 6"/>
    <w:basedOn w:val="Normal"/>
    <w:next w:val="Normal"/>
    <w:qFormat/>
    <w:rsid w:val="00D71FF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D71FF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D71FF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D71FF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04CD"/>
    <w:rPr>
      <w:b/>
      <w:caps/>
      <w:sz w:val="22"/>
    </w:rPr>
  </w:style>
  <w:style w:type="paragraph" w:styleId="BodyText">
    <w:name w:val="Body Text"/>
    <w:aliases w:val="SCA Body Text,SCA Body Text1,SCA Body Text2,SCA Body Text11,BodyText-JEA,BT-JEA"/>
    <w:basedOn w:val="Normal"/>
    <w:rsid w:val="00D71FFB"/>
    <w:pPr>
      <w:spacing w:after="120"/>
    </w:pPr>
  </w:style>
  <w:style w:type="paragraph" w:styleId="BodyText2">
    <w:name w:val="Body Text 2"/>
    <w:basedOn w:val="Normal"/>
    <w:rsid w:val="00D71FFB"/>
    <w:pPr>
      <w:spacing w:after="120"/>
      <w:ind w:left="720" w:hanging="360"/>
    </w:pPr>
  </w:style>
  <w:style w:type="paragraph" w:styleId="ListBullet">
    <w:name w:val="List Bullet"/>
    <w:basedOn w:val="Normal"/>
    <w:rsid w:val="00D71FFB"/>
    <w:pPr>
      <w:ind w:left="360" w:hanging="360"/>
    </w:pPr>
    <w:rPr>
      <w:sz w:val="20"/>
    </w:rPr>
  </w:style>
  <w:style w:type="paragraph" w:styleId="Header">
    <w:name w:val="header"/>
    <w:basedOn w:val="Normal"/>
    <w:rsid w:val="00D71FFB"/>
    <w:pPr>
      <w:tabs>
        <w:tab w:val="center" w:pos="4320"/>
        <w:tab w:val="right" w:pos="8640"/>
      </w:tabs>
    </w:pPr>
  </w:style>
  <w:style w:type="paragraph" w:styleId="Footer">
    <w:name w:val="footer"/>
    <w:basedOn w:val="Normal"/>
    <w:rsid w:val="00D71FFB"/>
    <w:pPr>
      <w:tabs>
        <w:tab w:val="center" w:pos="4320"/>
        <w:tab w:val="right" w:pos="8640"/>
      </w:tabs>
    </w:pPr>
  </w:style>
  <w:style w:type="paragraph" w:styleId="Caption">
    <w:name w:val="caption"/>
    <w:basedOn w:val="Normal"/>
    <w:next w:val="Normal"/>
    <w:qFormat/>
    <w:rsid w:val="00D71FFB"/>
    <w:pPr>
      <w:spacing w:before="240" w:after="120"/>
    </w:pPr>
    <w:rPr>
      <w:b/>
      <w:smallCaps/>
    </w:rPr>
  </w:style>
  <w:style w:type="paragraph" w:styleId="BodyText3">
    <w:name w:val="Body Text 3"/>
    <w:basedOn w:val="Normal"/>
    <w:rsid w:val="00D71FFB"/>
    <w:pPr>
      <w:spacing w:after="120"/>
      <w:jc w:val="both"/>
    </w:pPr>
  </w:style>
  <w:style w:type="paragraph" w:styleId="BodyTextIndent">
    <w:name w:val="Body Text Indent"/>
    <w:basedOn w:val="Normal"/>
    <w:rsid w:val="00D71FFB"/>
    <w:pPr>
      <w:numPr>
        <w:ilvl w:val="12"/>
      </w:numPr>
      <w:spacing w:after="120"/>
      <w:ind w:left="720" w:hanging="360"/>
    </w:pPr>
  </w:style>
  <w:style w:type="paragraph" w:styleId="BodyTextIndent2">
    <w:name w:val="Body Text Indent 2"/>
    <w:basedOn w:val="Normal"/>
    <w:rsid w:val="00D71FFB"/>
    <w:pPr>
      <w:spacing w:after="120"/>
      <w:ind w:left="360"/>
    </w:pPr>
  </w:style>
  <w:style w:type="paragraph" w:styleId="BodyTextIndent3">
    <w:name w:val="Body Text Indent 3"/>
    <w:basedOn w:val="Normal"/>
    <w:rsid w:val="00D71FFB"/>
    <w:pPr>
      <w:spacing w:after="120"/>
      <w:ind w:left="720" w:hanging="360"/>
      <w:jc w:val="both"/>
    </w:pPr>
  </w:style>
  <w:style w:type="paragraph" w:styleId="PlainText">
    <w:name w:val="Plain Text"/>
    <w:basedOn w:val="Normal"/>
    <w:rsid w:val="00D71FFB"/>
    <w:rPr>
      <w:rFonts w:ascii="Courier New" w:hAnsi="Courier New"/>
      <w:sz w:val="20"/>
    </w:rPr>
  </w:style>
  <w:style w:type="character" w:styleId="PageNumber">
    <w:name w:val="page number"/>
    <w:basedOn w:val="DefaultParagraphFont"/>
    <w:rsid w:val="00D71FF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F01F5"/>
    <w:rPr>
      <w:b/>
    </w:rPr>
  </w:style>
  <w:style w:type="paragraph" w:styleId="DocumentMap">
    <w:name w:val="Document Map"/>
    <w:basedOn w:val="Normal"/>
    <w:semiHidden/>
    <w:rsid w:val="00A83AD6"/>
    <w:pPr>
      <w:shd w:val="clear" w:color="auto" w:fill="000080"/>
    </w:pPr>
    <w:rPr>
      <w:rFonts w:ascii="Tahoma" w:hAnsi="Tahoma"/>
      <w:sz w:val="20"/>
    </w:rPr>
  </w:style>
  <w:style w:type="paragraph" w:customStyle="1" w:styleId="Style1">
    <w:name w:val="Style1"/>
    <w:rsid w:val="00A83AD6"/>
    <w:rPr>
      <w:noProof/>
    </w:rPr>
  </w:style>
  <w:style w:type="paragraph" w:styleId="BlockText">
    <w:name w:val="Block Text"/>
    <w:basedOn w:val="Normal"/>
    <w:rsid w:val="00A83AD6"/>
    <w:pPr>
      <w:tabs>
        <w:tab w:val="left" w:pos="1440"/>
        <w:tab w:val="left" w:pos="2160"/>
        <w:tab w:val="left" w:pos="2880"/>
        <w:tab w:val="left" w:pos="4752"/>
        <w:tab w:val="left" w:pos="7632"/>
        <w:tab w:val="right" w:pos="8784"/>
      </w:tabs>
      <w:spacing w:after="120" w:line="240" w:lineRule="exact"/>
      <w:ind w:left="360" w:right="461" w:hanging="360"/>
    </w:pPr>
    <w:rPr>
      <w:color w:val="000000"/>
    </w:rPr>
  </w:style>
  <w:style w:type="paragraph" w:customStyle="1" w:styleId="Style0">
    <w:name w:val="Style0"/>
    <w:rsid w:val="00A83AD6"/>
    <w:rPr>
      <w:rFonts w:ascii="Arial" w:hAnsi="Arial"/>
      <w:snapToGrid w:val="0"/>
      <w:sz w:val="24"/>
    </w:rPr>
  </w:style>
  <w:style w:type="paragraph" w:customStyle="1" w:styleId="OmniPage517">
    <w:name w:val="OmniPage #517"/>
    <w:basedOn w:val="Normal"/>
    <w:rsid w:val="00A83AD6"/>
    <w:pPr>
      <w:spacing w:line="238" w:lineRule="exact"/>
      <w:ind w:left="75" w:right="6495"/>
    </w:pPr>
    <w:rPr>
      <w:rFonts w:ascii="Arial" w:hAnsi="Arial"/>
      <w:noProof/>
      <w:sz w:val="24"/>
    </w:rPr>
  </w:style>
  <w:style w:type="paragraph" w:customStyle="1" w:styleId="OmniPage518">
    <w:name w:val="OmniPage #518"/>
    <w:basedOn w:val="Normal"/>
    <w:rsid w:val="00A83AD6"/>
    <w:pPr>
      <w:spacing w:line="258" w:lineRule="exact"/>
      <w:ind w:left="72" w:right="220"/>
    </w:pPr>
    <w:rPr>
      <w:rFonts w:ascii="Arial" w:hAnsi="Arial"/>
      <w:noProof/>
      <w:sz w:val="24"/>
    </w:rPr>
  </w:style>
  <w:style w:type="paragraph" w:customStyle="1" w:styleId="OmniPage519">
    <w:name w:val="OmniPage #519"/>
    <w:basedOn w:val="Normal"/>
    <w:rsid w:val="00A83AD6"/>
    <w:pPr>
      <w:spacing w:line="238" w:lineRule="exact"/>
      <w:ind w:left="71" w:right="5527"/>
    </w:pPr>
    <w:rPr>
      <w:rFonts w:ascii="Arial" w:hAnsi="Arial"/>
      <w:noProof/>
      <w:sz w:val="24"/>
    </w:rPr>
  </w:style>
  <w:style w:type="paragraph" w:customStyle="1" w:styleId="OmniPage520">
    <w:name w:val="OmniPage #520"/>
    <w:basedOn w:val="Normal"/>
    <w:rsid w:val="00A83AD6"/>
    <w:pPr>
      <w:tabs>
        <w:tab w:val="left" w:pos="667"/>
        <w:tab w:val="right" w:pos="9246"/>
      </w:tabs>
      <w:spacing w:line="238" w:lineRule="exact"/>
      <w:ind w:left="86" w:right="157"/>
    </w:pPr>
    <w:rPr>
      <w:rFonts w:ascii="Arial" w:hAnsi="Arial"/>
      <w:noProof/>
      <w:sz w:val="24"/>
    </w:rPr>
  </w:style>
  <w:style w:type="paragraph" w:customStyle="1" w:styleId="OmniPage522">
    <w:name w:val="OmniPage #522"/>
    <w:basedOn w:val="Normal"/>
    <w:rsid w:val="00A83AD6"/>
    <w:pPr>
      <w:tabs>
        <w:tab w:val="left" w:pos="671"/>
        <w:tab w:val="right" w:pos="9137"/>
      </w:tabs>
      <w:spacing w:line="404" w:lineRule="exact"/>
      <w:ind w:left="64" w:right="266"/>
    </w:pPr>
    <w:rPr>
      <w:rFonts w:ascii="Arial" w:hAnsi="Arial"/>
      <w:noProof/>
      <w:sz w:val="24"/>
    </w:rPr>
  </w:style>
  <w:style w:type="paragraph" w:customStyle="1" w:styleId="OmniPage524">
    <w:name w:val="OmniPage #524"/>
    <w:basedOn w:val="Normal"/>
    <w:rsid w:val="00A83AD6"/>
    <w:pPr>
      <w:tabs>
        <w:tab w:val="left" w:pos="664"/>
        <w:tab w:val="right" w:pos="8642"/>
      </w:tabs>
      <w:spacing w:line="238" w:lineRule="exact"/>
      <w:ind w:left="54" w:right="761"/>
    </w:pPr>
    <w:rPr>
      <w:rFonts w:ascii="Arial" w:hAnsi="Arial"/>
      <w:noProof/>
      <w:sz w:val="24"/>
    </w:rPr>
  </w:style>
  <w:style w:type="paragraph" w:customStyle="1" w:styleId="OmniPage526">
    <w:name w:val="OmniPage #526"/>
    <w:basedOn w:val="Normal"/>
    <w:rsid w:val="00A83AD6"/>
    <w:pPr>
      <w:tabs>
        <w:tab w:val="left" w:pos="663"/>
        <w:tab w:val="right" w:pos="9304"/>
      </w:tabs>
      <w:spacing w:line="431" w:lineRule="exact"/>
      <w:ind w:left="50" w:right="99"/>
    </w:pPr>
    <w:rPr>
      <w:rFonts w:ascii="Arial" w:hAnsi="Arial"/>
      <w:noProof/>
      <w:sz w:val="24"/>
    </w:rPr>
  </w:style>
  <w:style w:type="paragraph" w:customStyle="1" w:styleId="OmniPage528">
    <w:name w:val="OmniPage #528"/>
    <w:basedOn w:val="Normal"/>
    <w:rsid w:val="00A83AD6"/>
    <w:pPr>
      <w:tabs>
        <w:tab w:val="left" w:pos="662"/>
        <w:tab w:val="right" w:pos="9318"/>
      </w:tabs>
      <w:spacing w:line="238" w:lineRule="exact"/>
      <w:ind w:left="57" w:right="85"/>
    </w:pPr>
    <w:rPr>
      <w:rFonts w:ascii="Arial" w:hAnsi="Arial"/>
      <w:noProof/>
      <w:sz w:val="24"/>
    </w:rPr>
  </w:style>
  <w:style w:type="paragraph" w:customStyle="1" w:styleId="OmniPage770">
    <w:name w:val="OmniPage #770"/>
    <w:basedOn w:val="Normal"/>
    <w:rsid w:val="00A83AD6"/>
    <w:pPr>
      <w:tabs>
        <w:tab w:val="left" w:pos="732"/>
      </w:tabs>
      <w:spacing w:line="254" w:lineRule="exact"/>
      <w:ind w:left="682" w:right="260" w:hanging="590"/>
    </w:pPr>
    <w:rPr>
      <w:rFonts w:ascii="Arial" w:hAnsi="Arial"/>
      <w:noProof/>
      <w:sz w:val="24"/>
    </w:rPr>
  </w:style>
  <w:style w:type="paragraph" w:customStyle="1" w:styleId="OmniPage771">
    <w:name w:val="OmniPage #771"/>
    <w:basedOn w:val="Normal"/>
    <w:rsid w:val="00A83AD6"/>
    <w:pPr>
      <w:spacing w:line="238" w:lineRule="exact"/>
      <w:ind w:left="69" w:right="5051"/>
    </w:pPr>
    <w:rPr>
      <w:rFonts w:ascii="Arial" w:hAnsi="Arial"/>
      <w:noProof/>
      <w:sz w:val="24"/>
    </w:rPr>
  </w:style>
  <w:style w:type="paragraph" w:customStyle="1" w:styleId="OmniPage772">
    <w:name w:val="OmniPage #772"/>
    <w:basedOn w:val="Normal"/>
    <w:rsid w:val="00A83AD6"/>
    <w:pPr>
      <w:spacing w:line="260" w:lineRule="exact"/>
      <w:ind w:left="69" w:right="310"/>
    </w:pPr>
    <w:rPr>
      <w:rFonts w:ascii="Arial" w:hAnsi="Arial"/>
      <w:noProof/>
      <w:sz w:val="24"/>
    </w:rPr>
  </w:style>
  <w:style w:type="paragraph" w:customStyle="1" w:styleId="OmniPage773">
    <w:name w:val="OmniPage #773"/>
    <w:basedOn w:val="Normal"/>
    <w:rsid w:val="00A83AD6"/>
    <w:pPr>
      <w:spacing w:line="238" w:lineRule="exact"/>
      <w:ind w:left="81" w:right="6468"/>
    </w:pPr>
    <w:rPr>
      <w:rFonts w:ascii="Arial" w:hAnsi="Arial"/>
      <w:noProof/>
      <w:sz w:val="24"/>
    </w:rPr>
  </w:style>
  <w:style w:type="paragraph" w:customStyle="1" w:styleId="OmniPage774">
    <w:name w:val="OmniPage #774"/>
    <w:basedOn w:val="Normal"/>
    <w:rsid w:val="00A83AD6"/>
    <w:pPr>
      <w:spacing w:line="259" w:lineRule="exact"/>
      <w:ind w:left="77" w:right="888"/>
    </w:pPr>
    <w:rPr>
      <w:rFonts w:ascii="Arial" w:hAnsi="Arial"/>
      <w:noProof/>
      <w:sz w:val="24"/>
    </w:rPr>
  </w:style>
  <w:style w:type="paragraph" w:customStyle="1" w:styleId="OmniPage775">
    <w:name w:val="OmniPage #775"/>
    <w:basedOn w:val="Normal"/>
    <w:rsid w:val="00A83AD6"/>
    <w:pPr>
      <w:tabs>
        <w:tab w:val="left" w:pos="1208"/>
      </w:tabs>
      <w:spacing w:line="259" w:lineRule="exact"/>
      <w:ind w:left="1158" w:right="338" w:hanging="476"/>
    </w:pPr>
    <w:rPr>
      <w:rFonts w:ascii="Arial" w:hAnsi="Arial"/>
      <w:noProof/>
      <w:sz w:val="24"/>
    </w:rPr>
  </w:style>
  <w:style w:type="paragraph" w:customStyle="1" w:styleId="OmniPage776">
    <w:name w:val="OmniPage #776"/>
    <w:basedOn w:val="Normal"/>
    <w:rsid w:val="00A83AD6"/>
    <w:pPr>
      <w:tabs>
        <w:tab w:val="left" w:pos="1199"/>
      </w:tabs>
      <w:spacing w:line="260" w:lineRule="exact"/>
      <w:ind w:left="1149" w:right="322" w:hanging="475"/>
    </w:pPr>
    <w:rPr>
      <w:rFonts w:ascii="Arial" w:hAnsi="Arial"/>
      <w:noProof/>
      <w:sz w:val="24"/>
    </w:rPr>
  </w:style>
  <w:style w:type="paragraph" w:customStyle="1" w:styleId="OmniPage778">
    <w:name w:val="OmniPage #778"/>
    <w:basedOn w:val="Normal"/>
    <w:rsid w:val="00A83AD6"/>
    <w:pPr>
      <w:tabs>
        <w:tab w:val="left" w:pos="1197"/>
      </w:tabs>
      <w:spacing w:line="259" w:lineRule="exact"/>
      <w:ind w:left="1147" w:right="376" w:hanging="476"/>
    </w:pPr>
    <w:rPr>
      <w:rFonts w:ascii="Arial" w:hAnsi="Arial"/>
      <w:noProof/>
      <w:sz w:val="24"/>
    </w:rPr>
  </w:style>
  <w:style w:type="paragraph" w:customStyle="1" w:styleId="OmniPage779">
    <w:name w:val="OmniPage #779"/>
    <w:basedOn w:val="Normal"/>
    <w:rsid w:val="00A83AD6"/>
    <w:pPr>
      <w:spacing w:line="238" w:lineRule="exact"/>
      <w:ind w:left="50" w:right="7533"/>
    </w:pPr>
    <w:rPr>
      <w:rFonts w:ascii="Arial" w:hAnsi="Arial"/>
      <w:noProof/>
      <w:sz w:val="24"/>
    </w:rPr>
  </w:style>
  <w:style w:type="paragraph" w:customStyle="1" w:styleId="OmniPage780">
    <w:name w:val="OmniPage #780"/>
    <w:basedOn w:val="Normal"/>
    <w:rsid w:val="00A83AD6"/>
    <w:pPr>
      <w:spacing w:line="261" w:lineRule="exact"/>
      <w:ind w:left="51" w:right="319"/>
    </w:pPr>
    <w:rPr>
      <w:rFonts w:ascii="Arial" w:hAnsi="Arial"/>
      <w:noProof/>
      <w:sz w:val="24"/>
    </w:rPr>
  </w:style>
  <w:style w:type="paragraph" w:customStyle="1" w:styleId="OmniPage1027">
    <w:name w:val="OmniPage #1027"/>
    <w:basedOn w:val="Normal"/>
    <w:rsid w:val="00A83AD6"/>
    <w:pPr>
      <w:spacing w:line="238" w:lineRule="exact"/>
      <w:ind w:left="58" w:right="7278"/>
    </w:pPr>
    <w:rPr>
      <w:rFonts w:ascii="Arial" w:hAnsi="Arial"/>
      <w:noProof/>
      <w:sz w:val="24"/>
    </w:rPr>
  </w:style>
  <w:style w:type="paragraph" w:customStyle="1" w:styleId="OmniPage1028">
    <w:name w:val="OmniPage #1028"/>
    <w:basedOn w:val="Normal"/>
    <w:rsid w:val="00A83AD6"/>
    <w:pPr>
      <w:tabs>
        <w:tab w:val="right" w:pos="9176"/>
      </w:tabs>
      <w:spacing w:line="238" w:lineRule="exact"/>
      <w:ind w:left="83" w:right="206"/>
    </w:pPr>
    <w:rPr>
      <w:rFonts w:ascii="Arial" w:hAnsi="Arial"/>
      <w:noProof/>
      <w:sz w:val="24"/>
    </w:rPr>
  </w:style>
  <w:style w:type="paragraph" w:customStyle="1" w:styleId="OmniPage1030">
    <w:name w:val="OmniPage #1030"/>
    <w:basedOn w:val="Normal"/>
    <w:rsid w:val="00A83AD6"/>
    <w:pPr>
      <w:tabs>
        <w:tab w:val="left" w:pos="672"/>
        <w:tab w:val="right" w:pos="9231"/>
      </w:tabs>
      <w:spacing w:line="238" w:lineRule="exact"/>
      <w:ind w:left="62" w:right="151"/>
    </w:pPr>
    <w:rPr>
      <w:rFonts w:ascii="Arial" w:hAnsi="Arial"/>
      <w:noProof/>
      <w:sz w:val="24"/>
    </w:rPr>
  </w:style>
  <w:style w:type="paragraph" w:customStyle="1" w:styleId="OmniPage1033">
    <w:name w:val="OmniPage #1033"/>
    <w:basedOn w:val="Normal"/>
    <w:rsid w:val="00A83AD6"/>
    <w:pPr>
      <w:tabs>
        <w:tab w:val="left" w:pos="671"/>
        <w:tab w:val="right" w:pos="8776"/>
      </w:tabs>
      <w:spacing w:line="393" w:lineRule="exact"/>
      <w:ind w:left="53" w:right="606"/>
    </w:pPr>
    <w:rPr>
      <w:rFonts w:ascii="Arial" w:hAnsi="Arial"/>
      <w:noProof/>
      <w:sz w:val="24"/>
    </w:rPr>
  </w:style>
  <w:style w:type="paragraph" w:styleId="CommentText">
    <w:name w:val="annotation text"/>
    <w:basedOn w:val="Normal"/>
    <w:semiHidden/>
    <w:rsid w:val="00A83AD6"/>
    <w:rPr>
      <w:sz w:val="20"/>
    </w:rPr>
  </w:style>
  <w:style w:type="paragraph" w:customStyle="1" w:styleId="p8">
    <w:name w:val="p8"/>
    <w:basedOn w:val="Normal"/>
    <w:rsid w:val="00A83AD6"/>
    <w:pPr>
      <w:widowControl w:val="0"/>
      <w:tabs>
        <w:tab w:val="left" w:pos="720"/>
      </w:tabs>
      <w:spacing w:line="220" w:lineRule="atLeast"/>
      <w:jc w:val="both"/>
    </w:pPr>
    <w:rPr>
      <w:snapToGrid w:val="0"/>
      <w:sz w:val="24"/>
    </w:rPr>
  </w:style>
  <w:style w:type="paragraph" w:customStyle="1" w:styleId="Indent">
    <w:name w:val="Indent"/>
    <w:basedOn w:val="Normal"/>
    <w:rsid w:val="00A83AD6"/>
    <w:pPr>
      <w:tabs>
        <w:tab w:val="decimal" w:pos="720"/>
        <w:tab w:val="left" w:pos="1152"/>
      </w:tabs>
    </w:pPr>
    <w:rPr>
      <w:rFonts w:cs="Arial"/>
      <w:sz w:val="24"/>
    </w:rPr>
  </w:style>
  <w:style w:type="character" w:styleId="Hyperlink">
    <w:name w:val="Hyperlink"/>
    <w:basedOn w:val="DefaultParagraphFont"/>
    <w:uiPriority w:val="99"/>
    <w:rsid w:val="007C180A"/>
    <w:rPr>
      <w:color w:val="0000FF"/>
      <w:u w:val="single"/>
    </w:rPr>
  </w:style>
  <w:style w:type="paragraph" w:styleId="NormalWeb">
    <w:name w:val="Normal (Web)"/>
    <w:basedOn w:val="Normal"/>
    <w:uiPriority w:val="99"/>
    <w:rsid w:val="003D4B21"/>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uiPriority w:val="99"/>
    <w:rsid w:val="003D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1C642B"/>
    <w:rPr>
      <w:rFonts w:ascii="Courier New" w:hAnsi="Courier New" w:cs="Courier New"/>
    </w:rPr>
  </w:style>
  <w:style w:type="character" w:customStyle="1" w:styleId="updatebodytest1">
    <w:name w:val="updatebodytest1"/>
    <w:basedOn w:val="DefaultParagraphFont"/>
    <w:rsid w:val="00BE320F"/>
    <w:rPr>
      <w:rFonts w:ascii="Arial" w:hAnsi="Arial" w:cs="Arial" w:hint="default"/>
      <w:b w:val="0"/>
      <w:bCs w:val="0"/>
      <w:i w:val="0"/>
      <w:iCs w:val="0"/>
      <w:smallCaps w:val="0"/>
      <w:sz w:val="18"/>
      <w:szCs w:val="18"/>
    </w:rPr>
  </w:style>
  <w:style w:type="paragraph" w:customStyle="1" w:styleId="tablenote">
    <w:name w:val="table_note"/>
    <w:basedOn w:val="Normal"/>
    <w:rsid w:val="00BE320F"/>
    <w:pPr>
      <w:spacing w:before="100" w:beforeAutospacing="1" w:after="100" w:afterAutospacing="1"/>
    </w:pPr>
    <w:rPr>
      <w:sz w:val="24"/>
      <w:szCs w:val="24"/>
    </w:rPr>
  </w:style>
  <w:style w:type="paragraph" w:customStyle="1" w:styleId="Default">
    <w:name w:val="Default"/>
    <w:rsid w:val="00B36DDB"/>
    <w:pPr>
      <w:autoSpaceDE w:val="0"/>
      <w:autoSpaceDN w:val="0"/>
      <w:adjustRightInd w:val="0"/>
    </w:pPr>
    <w:rPr>
      <w:color w:val="000000"/>
      <w:sz w:val="24"/>
      <w:szCs w:val="24"/>
    </w:rPr>
  </w:style>
  <w:style w:type="paragraph" w:styleId="BalloonText">
    <w:name w:val="Balloon Text"/>
    <w:basedOn w:val="Normal"/>
    <w:link w:val="BalloonTextChar"/>
    <w:uiPriority w:val="99"/>
    <w:rsid w:val="00887099"/>
    <w:rPr>
      <w:rFonts w:ascii="Tahoma" w:hAnsi="Tahoma" w:cs="Tahoma"/>
      <w:sz w:val="16"/>
      <w:szCs w:val="16"/>
    </w:rPr>
  </w:style>
  <w:style w:type="character" w:customStyle="1" w:styleId="BalloonTextChar">
    <w:name w:val="Balloon Text Char"/>
    <w:basedOn w:val="DefaultParagraphFont"/>
    <w:link w:val="BalloonText"/>
    <w:uiPriority w:val="99"/>
    <w:rsid w:val="00887099"/>
    <w:rPr>
      <w:rFonts w:ascii="Tahoma" w:hAnsi="Tahoma" w:cs="Tahoma"/>
      <w:sz w:val="16"/>
      <w:szCs w:val="16"/>
    </w:rPr>
  </w:style>
  <w:style w:type="paragraph" w:customStyle="1" w:styleId="gpotbltitle">
    <w:name w:val="gpotbl_title"/>
    <w:basedOn w:val="Normal"/>
    <w:rsid w:val="00B404CD"/>
    <w:pPr>
      <w:spacing w:before="100" w:beforeAutospacing="1" w:after="100" w:afterAutospacing="1"/>
      <w:jc w:val="center"/>
    </w:pPr>
    <w:rPr>
      <w:b/>
      <w:bCs/>
      <w:sz w:val="24"/>
      <w:szCs w:val="24"/>
    </w:rPr>
  </w:style>
  <w:style w:type="paragraph" w:customStyle="1" w:styleId="gpotblnote">
    <w:name w:val="gpotbl_note"/>
    <w:basedOn w:val="Normal"/>
    <w:rsid w:val="0071486D"/>
    <w:pPr>
      <w:spacing w:before="100" w:beforeAutospacing="1" w:after="100" w:afterAutospacing="1"/>
    </w:pPr>
    <w:rPr>
      <w:sz w:val="24"/>
      <w:szCs w:val="24"/>
    </w:rPr>
  </w:style>
  <w:style w:type="character" w:styleId="Emphasis">
    <w:name w:val="Emphasis"/>
    <w:basedOn w:val="DefaultParagraphFont"/>
    <w:uiPriority w:val="20"/>
    <w:qFormat/>
    <w:rsid w:val="0071486D"/>
    <w:rPr>
      <w:i/>
      <w:iCs/>
    </w:rPr>
  </w:style>
  <w:style w:type="paragraph" w:customStyle="1" w:styleId="gpotbldescription">
    <w:name w:val="gpotbl_description"/>
    <w:basedOn w:val="Normal"/>
    <w:rsid w:val="00AD40A3"/>
    <w:pPr>
      <w:spacing w:before="100" w:beforeAutospacing="1" w:after="100" w:afterAutospacing="1"/>
      <w:jc w:val="center"/>
    </w:pPr>
    <w:rPr>
      <w:sz w:val="24"/>
      <w:szCs w:val="24"/>
    </w:rPr>
  </w:style>
  <w:style w:type="character" w:customStyle="1" w:styleId="Heading2Char">
    <w:name w:val="Heading 2 Char"/>
    <w:basedOn w:val="DefaultParagraphFont"/>
    <w:link w:val="Heading2"/>
    <w:uiPriority w:val="9"/>
    <w:rsid w:val="00F0171B"/>
    <w:rPr>
      <w:b/>
      <w:smallCaps/>
      <w:sz w:val="22"/>
    </w:rPr>
  </w:style>
  <w:style w:type="character" w:customStyle="1" w:styleId="Heading3Char">
    <w:name w:val="Heading 3 Char"/>
    <w:basedOn w:val="DefaultParagraphFont"/>
    <w:link w:val="Heading3"/>
    <w:uiPriority w:val="9"/>
    <w:rsid w:val="00F0171B"/>
    <w:rPr>
      <w:b/>
      <w:smallCaps/>
      <w:spacing w:val="-3"/>
      <w:sz w:val="22"/>
    </w:rPr>
  </w:style>
  <w:style w:type="character" w:customStyle="1" w:styleId="Heading1Char">
    <w:name w:val="Heading 1 Char"/>
    <w:basedOn w:val="DefaultParagraphFont"/>
    <w:link w:val="Heading1"/>
    <w:uiPriority w:val="9"/>
    <w:rsid w:val="00F0171B"/>
    <w:rPr>
      <w:b/>
      <w:smallCaps/>
      <w:sz w:val="22"/>
    </w:rPr>
  </w:style>
  <w:style w:type="character" w:customStyle="1" w:styleId="Heading4Char">
    <w:name w:val="Heading 4 Char"/>
    <w:basedOn w:val="DefaultParagraphFont"/>
    <w:link w:val="Heading4"/>
    <w:uiPriority w:val="9"/>
    <w:rsid w:val="00F0171B"/>
    <w:rPr>
      <w:b/>
      <w:smallCaps/>
      <w:sz w:val="22"/>
    </w:rPr>
  </w:style>
  <w:style w:type="paragraph" w:customStyle="1" w:styleId="fp">
    <w:name w:val="fp"/>
    <w:basedOn w:val="Normal"/>
    <w:rsid w:val="00F0171B"/>
    <w:pPr>
      <w:spacing w:before="200" w:after="100" w:afterAutospacing="1"/>
    </w:pPr>
    <w:rPr>
      <w:sz w:val="24"/>
      <w:szCs w:val="24"/>
    </w:rPr>
  </w:style>
  <w:style w:type="paragraph" w:customStyle="1" w:styleId="contentsg">
    <w:name w:val="contentsg"/>
    <w:basedOn w:val="Normal"/>
    <w:rsid w:val="00F0171B"/>
    <w:pPr>
      <w:spacing w:before="200" w:after="100" w:afterAutospacing="1"/>
    </w:pPr>
    <w:rPr>
      <w:smallCaps/>
      <w:sz w:val="11"/>
      <w:szCs w:val="11"/>
    </w:rPr>
  </w:style>
  <w:style w:type="paragraph" w:customStyle="1" w:styleId="source">
    <w:name w:val="source"/>
    <w:basedOn w:val="Normal"/>
    <w:rsid w:val="00F0171B"/>
    <w:pPr>
      <w:spacing w:before="200" w:after="100" w:afterAutospacing="1"/>
      <w:ind w:firstLine="480"/>
    </w:pPr>
    <w:rPr>
      <w:sz w:val="10"/>
      <w:szCs w:val="10"/>
    </w:rPr>
  </w:style>
  <w:style w:type="paragraph" w:customStyle="1" w:styleId="ednote">
    <w:name w:val="ednote"/>
    <w:basedOn w:val="Normal"/>
    <w:rsid w:val="00F0171B"/>
    <w:pPr>
      <w:spacing w:before="200" w:after="100" w:afterAutospacing="1"/>
      <w:ind w:firstLine="480"/>
    </w:pPr>
    <w:rPr>
      <w:sz w:val="10"/>
      <w:szCs w:val="10"/>
    </w:rPr>
  </w:style>
  <w:style w:type="paragraph" w:customStyle="1" w:styleId="cita">
    <w:name w:val="cita"/>
    <w:basedOn w:val="Normal"/>
    <w:rsid w:val="00F0171B"/>
    <w:pPr>
      <w:spacing w:before="200" w:after="100" w:afterAutospacing="1"/>
    </w:pPr>
    <w:rPr>
      <w:sz w:val="10"/>
      <w:szCs w:val="10"/>
    </w:rPr>
  </w:style>
  <w:style w:type="paragraph" w:customStyle="1" w:styleId="fp-2">
    <w:name w:val="fp-2"/>
    <w:basedOn w:val="Normal"/>
    <w:rsid w:val="00F0171B"/>
    <w:pPr>
      <w:spacing w:before="200" w:after="100"/>
      <w:ind w:left="960" w:hanging="960"/>
    </w:pPr>
    <w:rPr>
      <w:sz w:val="24"/>
      <w:szCs w:val="24"/>
    </w:rPr>
  </w:style>
</w:styles>
</file>

<file path=word/webSettings.xml><?xml version="1.0" encoding="utf-8"?>
<w:webSettings xmlns:r="http://schemas.openxmlformats.org/officeDocument/2006/relationships" xmlns:w="http://schemas.openxmlformats.org/wordprocessingml/2006/main">
  <w:divs>
    <w:div w:id="95489237">
      <w:bodyDiv w:val="1"/>
      <w:marLeft w:val="0"/>
      <w:marRight w:val="0"/>
      <w:marTop w:val="0"/>
      <w:marBottom w:val="0"/>
      <w:divBdr>
        <w:top w:val="none" w:sz="0" w:space="0" w:color="auto"/>
        <w:left w:val="none" w:sz="0" w:space="0" w:color="auto"/>
        <w:bottom w:val="none" w:sz="0" w:space="0" w:color="auto"/>
        <w:right w:val="none" w:sz="0" w:space="0" w:color="auto"/>
      </w:divBdr>
      <w:divsChild>
        <w:div w:id="748189064">
          <w:marLeft w:val="0"/>
          <w:marRight w:val="0"/>
          <w:marTop w:val="0"/>
          <w:marBottom w:val="0"/>
          <w:divBdr>
            <w:top w:val="none" w:sz="0" w:space="0" w:color="auto"/>
            <w:left w:val="none" w:sz="0" w:space="0" w:color="auto"/>
            <w:bottom w:val="none" w:sz="0" w:space="0" w:color="auto"/>
            <w:right w:val="none" w:sz="0" w:space="0" w:color="auto"/>
          </w:divBdr>
          <w:divsChild>
            <w:div w:id="11122821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2014974">
          <w:marLeft w:val="0"/>
          <w:marRight w:val="0"/>
          <w:marTop w:val="0"/>
          <w:marBottom w:val="0"/>
          <w:divBdr>
            <w:top w:val="none" w:sz="0" w:space="0" w:color="auto"/>
            <w:left w:val="none" w:sz="0" w:space="0" w:color="auto"/>
            <w:bottom w:val="none" w:sz="0" w:space="0" w:color="auto"/>
            <w:right w:val="none" w:sz="0" w:space="0" w:color="auto"/>
          </w:divBdr>
          <w:divsChild>
            <w:div w:id="9637769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87799513">
      <w:bodyDiv w:val="1"/>
      <w:marLeft w:val="0"/>
      <w:marRight w:val="0"/>
      <w:marTop w:val="0"/>
      <w:marBottom w:val="0"/>
      <w:divBdr>
        <w:top w:val="none" w:sz="0" w:space="0" w:color="auto"/>
        <w:left w:val="none" w:sz="0" w:space="0" w:color="auto"/>
        <w:bottom w:val="none" w:sz="0" w:space="0" w:color="auto"/>
        <w:right w:val="none" w:sz="0" w:space="0" w:color="auto"/>
      </w:divBdr>
      <w:divsChild>
        <w:div w:id="1521820892">
          <w:marLeft w:val="0"/>
          <w:marRight w:val="0"/>
          <w:marTop w:val="0"/>
          <w:marBottom w:val="0"/>
          <w:divBdr>
            <w:top w:val="none" w:sz="0" w:space="0" w:color="auto"/>
            <w:left w:val="none" w:sz="0" w:space="0" w:color="auto"/>
            <w:bottom w:val="none" w:sz="0" w:space="0" w:color="auto"/>
            <w:right w:val="none" w:sz="0" w:space="0" w:color="auto"/>
          </w:divBdr>
          <w:divsChild>
            <w:div w:id="976841902">
              <w:marLeft w:val="0"/>
              <w:marRight w:val="0"/>
              <w:marTop w:val="0"/>
              <w:marBottom w:val="0"/>
              <w:divBdr>
                <w:top w:val="single" w:sz="12" w:space="0" w:color="000000"/>
                <w:left w:val="single" w:sz="12" w:space="0" w:color="000000"/>
                <w:bottom w:val="single" w:sz="12" w:space="0" w:color="000000"/>
                <w:right w:val="single" w:sz="12" w:space="0" w:color="000000"/>
              </w:divBdr>
            </w:div>
            <w:div w:id="169498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8244">
      <w:bodyDiv w:val="1"/>
      <w:marLeft w:val="0"/>
      <w:marRight w:val="0"/>
      <w:marTop w:val="0"/>
      <w:marBottom w:val="0"/>
      <w:divBdr>
        <w:top w:val="none" w:sz="0" w:space="0" w:color="auto"/>
        <w:left w:val="none" w:sz="0" w:space="0" w:color="auto"/>
        <w:bottom w:val="none" w:sz="0" w:space="0" w:color="auto"/>
        <w:right w:val="none" w:sz="0" w:space="0" w:color="auto"/>
      </w:divBdr>
      <w:divsChild>
        <w:div w:id="25982249">
          <w:marLeft w:val="0"/>
          <w:marRight w:val="0"/>
          <w:marTop w:val="0"/>
          <w:marBottom w:val="0"/>
          <w:divBdr>
            <w:top w:val="none" w:sz="0" w:space="0" w:color="auto"/>
            <w:left w:val="none" w:sz="0" w:space="0" w:color="auto"/>
            <w:bottom w:val="none" w:sz="0" w:space="0" w:color="auto"/>
            <w:right w:val="none" w:sz="0" w:space="0" w:color="auto"/>
          </w:divBdr>
          <w:divsChild>
            <w:div w:id="2487799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287859">
          <w:marLeft w:val="0"/>
          <w:marRight w:val="0"/>
          <w:marTop w:val="0"/>
          <w:marBottom w:val="0"/>
          <w:divBdr>
            <w:top w:val="none" w:sz="0" w:space="0" w:color="auto"/>
            <w:left w:val="none" w:sz="0" w:space="0" w:color="auto"/>
            <w:bottom w:val="none" w:sz="0" w:space="0" w:color="auto"/>
            <w:right w:val="none" w:sz="0" w:space="0" w:color="auto"/>
          </w:divBdr>
          <w:divsChild>
            <w:div w:id="156028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9302363">
          <w:marLeft w:val="0"/>
          <w:marRight w:val="0"/>
          <w:marTop w:val="0"/>
          <w:marBottom w:val="0"/>
          <w:divBdr>
            <w:top w:val="none" w:sz="0" w:space="0" w:color="auto"/>
            <w:left w:val="none" w:sz="0" w:space="0" w:color="auto"/>
            <w:bottom w:val="none" w:sz="0" w:space="0" w:color="auto"/>
            <w:right w:val="none" w:sz="0" w:space="0" w:color="auto"/>
          </w:divBdr>
          <w:divsChild>
            <w:div w:id="373048203">
              <w:marLeft w:val="0"/>
              <w:marRight w:val="0"/>
              <w:marTop w:val="0"/>
              <w:marBottom w:val="0"/>
              <w:divBdr>
                <w:top w:val="single" w:sz="12" w:space="0" w:color="000000"/>
                <w:left w:val="single" w:sz="12" w:space="0" w:color="000000"/>
                <w:bottom w:val="single" w:sz="12" w:space="0" w:color="000000"/>
                <w:right w:val="single" w:sz="12" w:space="0" w:color="000000"/>
              </w:divBdr>
            </w:div>
            <w:div w:id="1383482220">
              <w:marLeft w:val="0"/>
              <w:marRight w:val="0"/>
              <w:marTop w:val="0"/>
              <w:marBottom w:val="0"/>
              <w:divBdr>
                <w:top w:val="none" w:sz="0" w:space="0" w:color="auto"/>
                <w:left w:val="none" w:sz="0" w:space="0" w:color="auto"/>
                <w:bottom w:val="none" w:sz="0" w:space="0" w:color="auto"/>
                <w:right w:val="none" w:sz="0" w:space="0" w:color="auto"/>
              </w:divBdr>
            </w:div>
          </w:divsChild>
        </w:div>
        <w:div w:id="505756156">
          <w:marLeft w:val="0"/>
          <w:marRight w:val="0"/>
          <w:marTop w:val="0"/>
          <w:marBottom w:val="0"/>
          <w:divBdr>
            <w:top w:val="none" w:sz="0" w:space="0" w:color="auto"/>
            <w:left w:val="none" w:sz="0" w:space="0" w:color="auto"/>
            <w:bottom w:val="none" w:sz="0" w:space="0" w:color="auto"/>
            <w:right w:val="none" w:sz="0" w:space="0" w:color="auto"/>
          </w:divBdr>
          <w:divsChild>
            <w:div w:id="602878226">
              <w:marLeft w:val="0"/>
              <w:marRight w:val="0"/>
              <w:marTop w:val="0"/>
              <w:marBottom w:val="0"/>
              <w:divBdr>
                <w:top w:val="none" w:sz="0" w:space="0" w:color="auto"/>
                <w:left w:val="none" w:sz="0" w:space="0" w:color="auto"/>
                <w:bottom w:val="none" w:sz="0" w:space="0" w:color="auto"/>
                <w:right w:val="none" w:sz="0" w:space="0" w:color="auto"/>
              </w:divBdr>
            </w:div>
            <w:div w:id="13921950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7730949">
          <w:marLeft w:val="0"/>
          <w:marRight w:val="0"/>
          <w:marTop w:val="0"/>
          <w:marBottom w:val="0"/>
          <w:divBdr>
            <w:top w:val="none" w:sz="0" w:space="0" w:color="auto"/>
            <w:left w:val="none" w:sz="0" w:space="0" w:color="auto"/>
            <w:bottom w:val="none" w:sz="0" w:space="0" w:color="auto"/>
            <w:right w:val="none" w:sz="0" w:space="0" w:color="auto"/>
          </w:divBdr>
          <w:divsChild>
            <w:div w:id="762335153">
              <w:marLeft w:val="0"/>
              <w:marRight w:val="0"/>
              <w:marTop w:val="0"/>
              <w:marBottom w:val="0"/>
              <w:divBdr>
                <w:top w:val="single" w:sz="12" w:space="0" w:color="000000"/>
                <w:left w:val="single" w:sz="12" w:space="0" w:color="000000"/>
                <w:bottom w:val="single" w:sz="12" w:space="0" w:color="000000"/>
                <w:right w:val="single" w:sz="12" w:space="0" w:color="000000"/>
              </w:divBdr>
            </w:div>
            <w:div w:id="1447308089">
              <w:marLeft w:val="0"/>
              <w:marRight w:val="0"/>
              <w:marTop w:val="0"/>
              <w:marBottom w:val="0"/>
              <w:divBdr>
                <w:top w:val="none" w:sz="0" w:space="0" w:color="auto"/>
                <w:left w:val="none" w:sz="0" w:space="0" w:color="auto"/>
                <w:bottom w:val="none" w:sz="0" w:space="0" w:color="auto"/>
                <w:right w:val="none" w:sz="0" w:space="0" w:color="auto"/>
              </w:divBdr>
            </w:div>
          </w:divsChild>
        </w:div>
        <w:div w:id="792795324">
          <w:marLeft w:val="0"/>
          <w:marRight w:val="0"/>
          <w:marTop w:val="0"/>
          <w:marBottom w:val="0"/>
          <w:divBdr>
            <w:top w:val="none" w:sz="0" w:space="0" w:color="auto"/>
            <w:left w:val="none" w:sz="0" w:space="0" w:color="auto"/>
            <w:bottom w:val="none" w:sz="0" w:space="0" w:color="auto"/>
            <w:right w:val="none" w:sz="0" w:space="0" w:color="auto"/>
          </w:divBdr>
          <w:divsChild>
            <w:div w:id="334381854">
              <w:marLeft w:val="0"/>
              <w:marRight w:val="0"/>
              <w:marTop w:val="0"/>
              <w:marBottom w:val="0"/>
              <w:divBdr>
                <w:top w:val="single" w:sz="12" w:space="0" w:color="000000"/>
                <w:left w:val="single" w:sz="12" w:space="0" w:color="000000"/>
                <w:bottom w:val="single" w:sz="12" w:space="0" w:color="000000"/>
                <w:right w:val="single" w:sz="12" w:space="0" w:color="000000"/>
              </w:divBdr>
            </w:div>
            <w:div w:id="1941523529">
              <w:marLeft w:val="0"/>
              <w:marRight w:val="0"/>
              <w:marTop w:val="0"/>
              <w:marBottom w:val="0"/>
              <w:divBdr>
                <w:top w:val="none" w:sz="0" w:space="0" w:color="auto"/>
                <w:left w:val="none" w:sz="0" w:space="0" w:color="auto"/>
                <w:bottom w:val="none" w:sz="0" w:space="0" w:color="auto"/>
                <w:right w:val="none" w:sz="0" w:space="0" w:color="auto"/>
              </w:divBdr>
            </w:div>
          </w:divsChild>
        </w:div>
        <w:div w:id="1166167737">
          <w:marLeft w:val="0"/>
          <w:marRight w:val="0"/>
          <w:marTop w:val="0"/>
          <w:marBottom w:val="0"/>
          <w:divBdr>
            <w:top w:val="none" w:sz="0" w:space="0" w:color="auto"/>
            <w:left w:val="none" w:sz="0" w:space="0" w:color="auto"/>
            <w:bottom w:val="none" w:sz="0" w:space="0" w:color="auto"/>
            <w:right w:val="none" w:sz="0" w:space="0" w:color="auto"/>
          </w:divBdr>
          <w:divsChild>
            <w:div w:id="18484023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5634823">
          <w:marLeft w:val="0"/>
          <w:marRight w:val="0"/>
          <w:marTop w:val="0"/>
          <w:marBottom w:val="0"/>
          <w:divBdr>
            <w:top w:val="none" w:sz="0" w:space="0" w:color="auto"/>
            <w:left w:val="none" w:sz="0" w:space="0" w:color="auto"/>
            <w:bottom w:val="none" w:sz="0" w:space="0" w:color="auto"/>
            <w:right w:val="none" w:sz="0" w:space="0" w:color="auto"/>
          </w:divBdr>
          <w:divsChild>
            <w:div w:id="1088649668">
              <w:marLeft w:val="0"/>
              <w:marRight w:val="0"/>
              <w:marTop w:val="0"/>
              <w:marBottom w:val="0"/>
              <w:divBdr>
                <w:top w:val="single" w:sz="12" w:space="0" w:color="000000"/>
                <w:left w:val="single" w:sz="12" w:space="0" w:color="000000"/>
                <w:bottom w:val="single" w:sz="12" w:space="0" w:color="000000"/>
                <w:right w:val="single" w:sz="12" w:space="0" w:color="000000"/>
              </w:divBdr>
            </w:div>
            <w:div w:id="1895123181">
              <w:marLeft w:val="0"/>
              <w:marRight w:val="0"/>
              <w:marTop w:val="0"/>
              <w:marBottom w:val="0"/>
              <w:divBdr>
                <w:top w:val="none" w:sz="0" w:space="0" w:color="auto"/>
                <w:left w:val="none" w:sz="0" w:space="0" w:color="auto"/>
                <w:bottom w:val="none" w:sz="0" w:space="0" w:color="auto"/>
                <w:right w:val="none" w:sz="0" w:space="0" w:color="auto"/>
              </w:divBdr>
            </w:div>
          </w:divsChild>
        </w:div>
        <w:div w:id="1800802462">
          <w:marLeft w:val="0"/>
          <w:marRight w:val="0"/>
          <w:marTop w:val="0"/>
          <w:marBottom w:val="0"/>
          <w:divBdr>
            <w:top w:val="none" w:sz="0" w:space="0" w:color="auto"/>
            <w:left w:val="none" w:sz="0" w:space="0" w:color="auto"/>
            <w:bottom w:val="none" w:sz="0" w:space="0" w:color="auto"/>
            <w:right w:val="none" w:sz="0" w:space="0" w:color="auto"/>
          </w:divBdr>
          <w:divsChild>
            <w:div w:id="29840103">
              <w:marLeft w:val="0"/>
              <w:marRight w:val="0"/>
              <w:marTop w:val="0"/>
              <w:marBottom w:val="0"/>
              <w:divBdr>
                <w:top w:val="single" w:sz="12" w:space="0" w:color="000000"/>
                <w:left w:val="single" w:sz="12" w:space="0" w:color="000000"/>
                <w:bottom w:val="single" w:sz="12" w:space="0" w:color="000000"/>
                <w:right w:val="single" w:sz="12" w:space="0" w:color="000000"/>
              </w:divBdr>
            </w:div>
            <w:div w:id="431703705">
              <w:marLeft w:val="0"/>
              <w:marRight w:val="0"/>
              <w:marTop w:val="0"/>
              <w:marBottom w:val="0"/>
              <w:divBdr>
                <w:top w:val="none" w:sz="0" w:space="0" w:color="auto"/>
                <w:left w:val="none" w:sz="0" w:space="0" w:color="auto"/>
                <w:bottom w:val="none" w:sz="0" w:space="0" w:color="auto"/>
                <w:right w:val="none" w:sz="0" w:space="0" w:color="auto"/>
              </w:divBdr>
            </w:div>
          </w:divsChild>
        </w:div>
        <w:div w:id="1842429758">
          <w:marLeft w:val="0"/>
          <w:marRight w:val="0"/>
          <w:marTop w:val="0"/>
          <w:marBottom w:val="0"/>
          <w:divBdr>
            <w:top w:val="none" w:sz="0" w:space="0" w:color="auto"/>
            <w:left w:val="none" w:sz="0" w:space="0" w:color="auto"/>
            <w:bottom w:val="none" w:sz="0" w:space="0" w:color="auto"/>
            <w:right w:val="none" w:sz="0" w:space="0" w:color="auto"/>
          </w:divBdr>
          <w:divsChild>
            <w:div w:id="10369334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5198046">
          <w:marLeft w:val="0"/>
          <w:marRight w:val="0"/>
          <w:marTop w:val="0"/>
          <w:marBottom w:val="0"/>
          <w:divBdr>
            <w:top w:val="none" w:sz="0" w:space="0" w:color="auto"/>
            <w:left w:val="none" w:sz="0" w:space="0" w:color="auto"/>
            <w:bottom w:val="none" w:sz="0" w:space="0" w:color="auto"/>
            <w:right w:val="none" w:sz="0" w:space="0" w:color="auto"/>
          </w:divBdr>
          <w:divsChild>
            <w:div w:id="952370780">
              <w:marLeft w:val="0"/>
              <w:marRight w:val="0"/>
              <w:marTop w:val="0"/>
              <w:marBottom w:val="0"/>
              <w:divBdr>
                <w:top w:val="single" w:sz="12" w:space="0" w:color="000000"/>
                <w:left w:val="single" w:sz="12" w:space="0" w:color="000000"/>
                <w:bottom w:val="single" w:sz="12" w:space="0" w:color="000000"/>
                <w:right w:val="single" w:sz="12" w:space="0" w:color="000000"/>
              </w:divBdr>
            </w:div>
            <w:div w:id="2052994034">
              <w:marLeft w:val="0"/>
              <w:marRight w:val="0"/>
              <w:marTop w:val="0"/>
              <w:marBottom w:val="0"/>
              <w:divBdr>
                <w:top w:val="none" w:sz="0" w:space="0" w:color="auto"/>
                <w:left w:val="none" w:sz="0" w:space="0" w:color="auto"/>
                <w:bottom w:val="none" w:sz="0" w:space="0" w:color="auto"/>
                <w:right w:val="none" w:sz="0" w:space="0" w:color="auto"/>
              </w:divBdr>
            </w:div>
          </w:divsChild>
        </w:div>
        <w:div w:id="1928885687">
          <w:marLeft w:val="0"/>
          <w:marRight w:val="0"/>
          <w:marTop w:val="0"/>
          <w:marBottom w:val="0"/>
          <w:divBdr>
            <w:top w:val="none" w:sz="0" w:space="0" w:color="auto"/>
            <w:left w:val="none" w:sz="0" w:space="0" w:color="auto"/>
            <w:bottom w:val="none" w:sz="0" w:space="0" w:color="auto"/>
            <w:right w:val="none" w:sz="0" w:space="0" w:color="auto"/>
          </w:divBdr>
          <w:divsChild>
            <w:div w:id="1430274666">
              <w:marLeft w:val="0"/>
              <w:marRight w:val="0"/>
              <w:marTop w:val="0"/>
              <w:marBottom w:val="0"/>
              <w:divBdr>
                <w:top w:val="none" w:sz="0" w:space="0" w:color="auto"/>
                <w:left w:val="none" w:sz="0" w:space="0" w:color="auto"/>
                <w:bottom w:val="none" w:sz="0" w:space="0" w:color="auto"/>
                <w:right w:val="none" w:sz="0" w:space="0" w:color="auto"/>
              </w:divBdr>
            </w:div>
            <w:div w:id="14596901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44268691">
      <w:bodyDiv w:val="1"/>
      <w:marLeft w:val="0"/>
      <w:marRight w:val="0"/>
      <w:marTop w:val="0"/>
      <w:marBottom w:val="0"/>
      <w:divBdr>
        <w:top w:val="none" w:sz="0" w:space="0" w:color="auto"/>
        <w:left w:val="none" w:sz="0" w:space="0" w:color="auto"/>
        <w:bottom w:val="none" w:sz="0" w:space="0" w:color="auto"/>
        <w:right w:val="none" w:sz="0" w:space="0" w:color="auto"/>
      </w:divBdr>
      <w:divsChild>
        <w:div w:id="179514354">
          <w:marLeft w:val="0"/>
          <w:marRight w:val="0"/>
          <w:marTop w:val="0"/>
          <w:marBottom w:val="0"/>
          <w:divBdr>
            <w:top w:val="none" w:sz="0" w:space="0" w:color="auto"/>
            <w:left w:val="none" w:sz="0" w:space="0" w:color="auto"/>
            <w:bottom w:val="none" w:sz="0" w:space="0" w:color="auto"/>
            <w:right w:val="none" w:sz="0" w:space="0" w:color="auto"/>
          </w:divBdr>
          <w:divsChild>
            <w:div w:id="771242023">
              <w:marLeft w:val="0"/>
              <w:marRight w:val="0"/>
              <w:marTop w:val="0"/>
              <w:marBottom w:val="0"/>
              <w:divBdr>
                <w:top w:val="none" w:sz="0" w:space="0" w:color="auto"/>
                <w:left w:val="none" w:sz="0" w:space="0" w:color="auto"/>
                <w:bottom w:val="none" w:sz="0" w:space="0" w:color="auto"/>
                <w:right w:val="none" w:sz="0" w:space="0" w:color="auto"/>
              </w:divBdr>
            </w:div>
            <w:div w:id="12499949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693274">
          <w:marLeft w:val="0"/>
          <w:marRight w:val="0"/>
          <w:marTop w:val="0"/>
          <w:marBottom w:val="0"/>
          <w:divBdr>
            <w:top w:val="none" w:sz="0" w:space="0" w:color="auto"/>
            <w:left w:val="none" w:sz="0" w:space="0" w:color="auto"/>
            <w:bottom w:val="none" w:sz="0" w:space="0" w:color="auto"/>
            <w:right w:val="none" w:sz="0" w:space="0" w:color="auto"/>
          </w:divBdr>
          <w:divsChild>
            <w:div w:id="1377386950">
              <w:marLeft w:val="0"/>
              <w:marRight w:val="0"/>
              <w:marTop w:val="0"/>
              <w:marBottom w:val="0"/>
              <w:divBdr>
                <w:top w:val="none" w:sz="0" w:space="0" w:color="auto"/>
                <w:left w:val="none" w:sz="0" w:space="0" w:color="auto"/>
                <w:bottom w:val="none" w:sz="0" w:space="0" w:color="auto"/>
                <w:right w:val="none" w:sz="0" w:space="0" w:color="auto"/>
              </w:divBdr>
            </w:div>
            <w:div w:id="1668900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5653314">
          <w:marLeft w:val="0"/>
          <w:marRight w:val="0"/>
          <w:marTop w:val="0"/>
          <w:marBottom w:val="0"/>
          <w:divBdr>
            <w:top w:val="none" w:sz="0" w:space="0" w:color="auto"/>
            <w:left w:val="none" w:sz="0" w:space="0" w:color="auto"/>
            <w:bottom w:val="none" w:sz="0" w:space="0" w:color="auto"/>
            <w:right w:val="none" w:sz="0" w:space="0" w:color="auto"/>
          </w:divBdr>
          <w:divsChild>
            <w:div w:id="1637249213">
              <w:marLeft w:val="0"/>
              <w:marRight w:val="0"/>
              <w:marTop w:val="0"/>
              <w:marBottom w:val="0"/>
              <w:divBdr>
                <w:top w:val="single" w:sz="12" w:space="0" w:color="000000"/>
                <w:left w:val="single" w:sz="12" w:space="0" w:color="000000"/>
                <w:bottom w:val="single" w:sz="12" w:space="0" w:color="000000"/>
                <w:right w:val="single" w:sz="12" w:space="0" w:color="000000"/>
              </w:divBdr>
            </w:div>
            <w:div w:id="2027099040">
              <w:marLeft w:val="0"/>
              <w:marRight w:val="0"/>
              <w:marTop w:val="0"/>
              <w:marBottom w:val="0"/>
              <w:divBdr>
                <w:top w:val="none" w:sz="0" w:space="0" w:color="auto"/>
                <w:left w:val="none" w:sz="0" w:space="0" w:color="auto"/>
                <w:bottom w:val="none" w:sz="0" w:space="0" w:color="auto"/>
                <w:right w:val="none" w:sz="0" w:space="0" w:color="auto"/>
              </w:divBdr>
            </w:div>
          </w:divsChild>
        </w:div>
        <w:div w:id="736171161">
          <w:marLeft w:val="0"/>
          <w:marRight w:val="0"/>
          <w:marTop w:val="0"/>
          <w:marBottom w:val="0"/>
          <w:divBdr>
            <w:top w:val="none" w:sz="0" w:space="0" w:color="auto"/>
            <w:left w:val="none" w:sz="0" w:space="0" w:color="auto"/>
            <w:bottom w:val="none" w:sz="0" w:space="0" w:color="auto"/>
            <w:right w:val="none" w:sz="0" w:space="0" w:color="auto"/>
          </w:divBdr>
          <w:divsChild>
            <w:div w:id="916482066">
              <w:marLeft w:val="0"/>
              <w:marRight w:val="0"/>
              <w:marTop w:val="0"/>
              <w:marBottom w:val="0"/>
              <w:divBdr>
                <w:top w:val="single" w:sz="12" w:space="0" w:color="000000"/>
                <w:left w:val="single" w:sz="12" w:space="0" w:color="000000"/>
                <w:bottom w:val="single" w:sz="12" w:space="0" w:color="000000"/>
                <w:right w:val="single" w:sz="12" w:space="0" w:color="000000"/>
              </w:divBdr>
            </w:div>
            <w:div w:id="1623996495">
              <w:marLeft w:val="0"/>
              <w:marRight w:val="0"/>
              <w:marTop w:val="0"/>
              <w:marBottom w:val="0"/>
              <w:divBdr>
                <w:top w:val="none" w:sz="0" w:space="0" w:color="auto"/>
                <w:left w:val="none" w:sz="0" w:space="0" w:color="auto"/>
                <w:bottom w:val="none" w:sz="0" w:space="0" w:color="auto"/>
                <w:right w:val="none" w:sz="0" w:space="0" w:color="auto"/>
              </w:divBdr>
            </w:div>
          </w:divsChild>
        </w:div>
        <w:div w:id="874385827">
          <w:marLeft w:val="0"/>
          <w:marRight w:val="0"/>
          <w:marTop w:val="0"/>
          <w:marBottom w:val="0"/>
          <w:divBdr>
            <w:top w:val="none" w:sz="0" w:space="0" w:color="auto"/>
            <w:left w:val="none" w:sz="0" w:space="0" w:color="auto"/>
            <w:bottom w:val="none" w:sz="0" w:space="0" w:color="auto"/>
            <w:right w:val="none" w:sz="0" w:space="0" w:color="auto"/>
          </w:divBdr>
          <w:divsChild>
            <w:div w:id="1919703121">
              <w:marLeft w:val="0"/>
              <w:marRight w:val="0"/>
              <w:marTop w:val="0"/>
              <w:marBottom w:val="0"/>
              <w:divBdr>
                <w:top w:val="single" w:sz="12" w:space="0" w:color="000000"/>
                <w:left w:val="single" w:sz="12" w:space="0" w:color="000000"/>
                <w:bottom w:val="single" w:sz="12" w:space="0" w:color="000000"/>
                <w:right w:val="single" w:sz="12" w:space="0" w:color="000000"/>
              </w:divBdr>
            </w:div>
            <w:div w:id="2146241239">
              <w:marLeft w:val="0"/>
              <w:marRight w:val="0"/>
              <w:marTop w:val="0"/>
              <w:marBottom w:val="0"/>
              <w:divBdr>
                <w:top w:val="none" w:sz="0" w:space="0" w:color="auto"/>
                <w:left w:val="none" w:sz="0" w:space="0" w:color="auto"/>
                <w:bottom w:val="none" w:sz="0" w:space="0" w:color="auto"/>
                <w:right w:val="none" w:sz="0" w:space="0" w:color="auto"/>
              </w:divBdr>
            </w:div>
          </w:divsChild>
        </w:div>
        <w:div w:id="1107770255">
          <w:marLeft w:val="0"/>
          <w:marRight w:val="0"/>
          <w:marTop w:val="0"/>
          <w:marBottom w:val="0"/>
          <w:divBdr>
            <w:top w:val="none" w:sz="0" w:space="0" w:color="auto"/>
            <w:left w:val="none" w:sz="0" w:space="0" w:color="auto"/>
            <w:bottom w:val="none" w:sz="0" w:space="0" w:color="auto"/>
            <w:right w:val="none" w:sz="0" w:space="0" w:color="auto"/>
          </w:divBdr>
          <w:divsChild>
            <w:div w:id="311300491">
              <w:marLeft w:val="0"/>
              <w:marRight w:val="0"/>
              <w:marTop w:val="0"/>
              <w:marBottom w:val="0"/>
              <w:divBdr>
                <w:top w:val="none" w:sz="0" w:space="0" w:color="auto"/>
                <w:left w:val="none" w:sz="0" w:space="0" w:color="auto"/>
                <w:bottom w:val="none" w:sz="0" w:space="0" w:color="auto"/>
                <w:right w:val="none" w:sz="0" w:space="0" w:color="auto"/>
              </w:divBdr>
            </w:div>
            <w:div w:id="3944018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9704603">
          <w:marLeft w:val="0"/>
          <w:marRight w:val="0"/>
          <w:marTop w:val="0"/>
          <w:marBottom w:val="0"/>
          <w:divBdr>
            <w:top w:val="none" w:sz="0" w:space="0" w:color="auto"/>
            <w:left w:val="none" w:sz="0" w:space="0" w:color="auto"/>
            <w:bottom w:val="none" w:sz="0" w:space="0" w:color="auto"/>
            <w:right w:val="none" w:sz="0" w:space="0" w:color="auto"/>
          </w:divBdr>
          <w:divsChild>
            <w:div w:id="87847109">
              <w:marLeft w:val="0"/>
              <w:marRight w:val="0"/>
              <w:marTop w:val="0"/>
              <w:marBottom w:val="0"/>
              <w:divBdr>
                <w:top w:val="single" w:sz="12" w:space="0" w:color="000000"/>
                <w:left w:val="single" w:sz="12" w:space="0" w:color="000000"/>
                <w:bottom w:val="single" w:sz="12" w:space="0" w:color="000000"/>
                <w:right w:val="single" w:sz="12" w:space="0" w:color="000000"/>
              </w:divBdr>
            </w:div>
            <w:div w:id="1259678660">
              <w:marLeft w:val="0"/>
              <w:marRight w:val="0"/>
              <w:marTop w:val="0"/>
              <w:marBottom w:val="0"/>
              <w:divBdr>
                <w:top w:val="none" w:sz="0" w:space="0" w:color="auto"/>
                <w:left w:val="none" w:sz="0" w:space="0" w:color="auto"/>
                <w:bottom w:val="none" w:sz="0" w:space="0" w:color="auto"/>
                <w:right w:val="none" w:sz="0" w:space="0" w:color="auto"/>
              </w:divBdr>
            </w:div>
          </w:divsChild>
        </w:div>
        <w:div w:id="1332414586">
          <w:marLeft w:val="0"/>
          <w:marRight w:val="0"/>
          <w:marTop w:val="0"/>
          <w:marBottom w:val="0"/>
          <w:divBdr>
            <w:top w:val="none" w:sz="0" w:space="0" w:color="auto"/>
            <w:left w:val="none" w:sz="0" w:space="0" w:color="auto"/>
            <w:bottom w:val="none" w:sz="0" w:space="0" w:color="auto"/>
            <w:right w:val="none" w:sz="0" w:space="0" w:color="auto"/>
          </w:divBdr>
          <w:divsChild>
            <w:div w:id="492718631">
              <w:marLeft w:val="0"/>
              <w:marRight w:val="0"/>
              <w:marTop w:val="0"/>
              <w:marBottom w:val="0"/>
              <w:divBdr>
                <w:top w:val="none" w:sz="0" w:space="0" w:color="auto"/>
                <w:left w:val="none" w:sz="0" w:space="0" w:color="auto"/>
                <w:bottom w:val="none" w:sz="0" w:space="0" w:color="auto"/>
                <w:right w:val="none" w:sz="0" w:space="0" w:color="auto"/>
              </w:divBdr>
            </w:div>
            <w:div w:id="15620591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8242432">
          <w:marLeft w:val="0"/>
          <w:marRight w:val="0"/>
          <w:marTop w:val="0"/>
          <w:marBottom w:val="0"/>
          <w:divBdr>
            <w:top w:val="none" w:sz="0" w:space="0" w:color="auto"/>
            <w:left w:val="none" w:sz="0" w:space="0" w:color="auto"/>
            <w:bottom w:val="none" w:sz="0" w:space="0" w:color="auto"/>
            <w:right w:val="none" w:sz="0" w:space="0" w:color="auto"/>
          </w:divBdr>
          <w:divsChild>
            <w:div w:id="539052566">
              <w:marLeft w:val="0"/>
              <w:marRight w:val="0"/>
              <w:marTop w:val="0"/>
              <w:marBottom w:val="0"/>
              <w:divBdr>
                <w:top w:val="single" w:sz="12" w:space="0" w:color="000000"/>
                <w:left w:val="single" w:sz="12" w:space="0" w:color="000000"/>
                <w:bottom w:val="single" w:sz="12" w:space="0" w:color="000000"/>
                <w:right w:val="single" w:sz="12" w:space="0" w:color="000000"/>
              </w:divBdr>
            </w:div>
            <w:div w:id="718750418">
              <w:marLeft w:val="0"/>
              <w:marRight w:val="0"/>
              <w:marTop w:val="0"/>
              <w:marBottom w:val="0"/>
              <w:divBdr>
                <w:top w:val="none" w:sz="0" w:space="0" w:color="auto"/>
                <w:left w:val="none" w:sz="0" w:space="0" w:color="auto"/>
                <w:bottom w:val="none" w:sz="0" w:space="0" w:color="auto"/>
                <w:right w:val="none" w:sz="0" w:space="0" w:color="auto"/>
              </w:divBdr>
            </w:div>
          </w:divsChild>
        </w:div>
        <w:div w:id="1465587191">
          <w:marLeft w:val="0"/>
          <w:marRight w:val="0"/>
          <w:marTop w:val="0"/>
          <w:marBottom w:val="0"/>
          <w:divBdr>
            <w:top w:val="none" w:sz="0" w:space="0" w:color="auto"/>
            <w:left w:val="none" w:sz="0" w:space="0" w:color="auto"/>
            <w:bottom w:val="none" w:sz="0" w:space="0" w:color="auto"/>
            <w:right w:val="none" w:sz="0" w:space="0" w:color="auto"/>
          </w:divBdr>
          <w:divsChild>
            <w:div w:id="1696268474">
              <w:marLeft w:val="0"/>
              <w:marRight w:val="0"/>
              <w:marTop w:val="0"/>
              <w:marBottom w:val="0"/>
              <w:divBdr>
                <w:top w:val="single" w:sz="12" w:space="0" w:color="000000"/>
                <w:left w:val="single" w:sz="12" w:space="0" w:color="000000"/>
                <w:bottom w:val="single" w:sz="12" w:space="0" w:color="000000"/>
                <w:right w:val="single" w:sz="12" w:space="0" w:color="000000"/>
              </w:divBdr>
            </w:div>
            <w:div w:id="1719474537">
              <w:marLeft w:val="0"/>
              <w:marRight w:val="0"/>
              <w:marTop w:val="0"/>
              <w:marBottom w:val="0"/>
              <w:divBdr>
                <w:top w:val="none" w:sz="0" w:space="0" w:color="auto"/>
                <w:left w:val="none" w:sz="0" w:space="0" w:color="auto"/>
                <w:bottom w:val="none" w:sz="0" w:space="0" w:color="auto"/>
                <w:right w:val="none" w:sz="0" w:space="0" w:color="auto"/>
              </w:divBdr>
            </w:div>
          </w:divsChild>
        </w:div>
        <w:div w:id="1978104588">
          <w:marLeft w:val="0"/>
          <w:marRight w:val="0"/>
          <w:marTop w:val="0"/>
          <w:marBottom w:val="0"/>
          <w:divBdr>
            <w:top w:val="none" w:sz="0" w:space="0" w:color="auto"/>
            <w:left w:val="none" w:sz="0" w:space="0" w:color="auto"/>
            <w:bottom w:val="none" w:sz="0" w:space="0" w:color="auto"/>
            <w:right w:val="none" w:sz="0" w:space="0" w:color="auto"/>
          </w:divBdr>
          <w:divsChild>
            <w:div w:id="1695184877">
              <w:marLeft w:val="0"/>
              <w:marRight w:val="0"/>
              <w:marTop w:val="0"/>
              <w:marBottom w:val="0"/>
              <w:divBdr>
                <w:top w:val="none" w:sz="0" w:space="0" w:color="auto"/>
                <w:left w:val="none" w:sz="0" w:space="0" w:color="auto"/>
                <w:bottom w:val="none" w:sz="0" w:space="0" w:color="auto"/>
                <w:right w:val="none" w:sz="0" w:space="0" w:color="auto"/>
              </w:divBdr>
            </w:div>
            <w:div w:id="16988900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14987335">
          <w:marLeft w:val="0"/>
          <w:marRight w:val="0"/>
          <w:marTop w:val="0"/>
          <w:marBottom w:val="0"/>
          <w:divBdr>
            <w:top w:val="none" w:sz="0" w:space="0" w:color="auto"/>
            <w:left w:val="none" w:sz="0" w:space="0" w:color="auto"/>
            <w:bottom w:val="none" w:sz="0" w:space="0" w:color="auto"/>
            <w:right w:val="none" w:sz="0" w:space="0" w:color="auto"/>
          </w:divBdr>
          <w:divsChild>
            <w:div w:id="1079910005">
              <w:marLeft w:val="0"/>
              <w:marRight w:val="0"/>
              <w:marTop w:val="0"/>
              <w:marBottom w:val="0"/>
              <w:divBdr>
                <w:top w:val="single" w:sz="12" w:space="0" w:color="000000"/>
                <w:left w:val="single" w:sz="12" w:space="0" w:color="000000"/>
                <w:bottom w:val="single" w:sz="12" w:space="0" w:color="000000"/>
                <w:right w:val="single" w:sz="12" w:space="0" w:color="000000"/>
              </w:divBdr>
            </w:div>
            <w:div w:id="1964454400">
              <w:marLeft w:val="0"/>
              <w:marRight w:val="0"/>
              <w:marTop w:val="0"/>
              <w:marBottom w:val="0"/>
              <w:divBdr>
                <w:top w:val="none" w:sz="0" w:space="0" w:color="auto"/>
                <w:left w:val="none" w:sz="0" w:space="0" w:color="auto"/>
                <w:bottom w:val="none" w:sz="0" w:space="0" w:color="auto"/>
                <w:right w:val="none" w:sz="0" w:space="0" w:color="auto"/>
              </w:divBdr>
            </w:div>
          </w:divsChild>
        </w:div>
        <w:div w:id="2050690670">
          <w:marLeft w:val="0"/>
          <w:marRight w:val="0"/>
          <w:marTop w:val="0"/>
          <w:marBottom w:val="0"/>
          <w:divBdr>
            <w:top w:val="none" w:sz="0" w:space="0" w:color="auto"/>
            <w:left w:val="none" w:sz="0" w:space="0" w:color="auto"/>
            <w:bottom w:val="none" w:sz="0" w:space="0" w:color="auto"/>
            <w:right w:val="none" w:sz="0" w:space="0" w:color="auto"/>
          </w:divBdr>
          <w:divsChild>
            <w:div w:id="276714755">
              <w:marLeft w:val="0"/>
              <w:marRight w:val="0"/>
              <w:marTop w:val="0"/>
              <w:marBottom w:val="0"/>
              <w:divBdr>
                <w:top w:val="single" w:sz="12" w:space="0" w:color="000000"/>
                <w:left w:val="single" w:sz="12" w:space="0" w:color="000000"/>
                <w:bottom w:val="single" w:sz="12" w:space="0" w:color="000000"/>
                <w:right w:val="single" w:sz="12" w:space="0" w:color="000000"/>
              </w:divBdr>
            </w:div>
            <w:div w:id="6371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3155">
      <w:bodyDiv w:val="1"/>
      <w:marLeft w:val="0"/>
      <w:marRight w:val="0"/>
      <w:marTop w:val="0"/>
      <w:marBottom w:val="0"/>
      <w:divBdr>
        <w:top w:val="none" w:sz="0" w:space="0" w:color="auto"/>
        <w:left w:val="none" w:sz="0" w:space="0" w:color="auto"/>
        <w:bottom w:val="none" w:sz="0" w:space="0" w:color="auto"/>
        <w:right w:val="none" w:sz="0" w:space="0" w:color="auto"/>
      </w:divBdr>
      <w:divsChild>
        <w:div w:id="216598407">
          <w:marLeft w:val="0"/>
          <w:marRight w:val="0"/>
          <w:marTop w:val="0"/>
          <w:marBottom w:val="0"/>
          <w:divBdr>
            <w:top w:val="none" w:sz="0" w:space="0" w:color="auto"/>
            <w:left w:val="none" w:sz="0" w:space="0" w:color="auto"/>
            <w:bottom w:val="none" w:sz="0" w:space="0" w:color="auto"/>
            <w:right w:val="none" w:sz="0" w:space="0" w:color="auto"/>
          </w:divBdr>
          <w:divsChild>
            <w:div w:id="154762846">
              <w:marLeft w:val="0"/>
              <w:marRight w:val="0"/>
              <w:marTop w:val="0"/>
              <w:marBottom w:val="0"/>
              <w:divBdr>
                <w:top w:val="single" w:sz="12" w:space="0" w:color="000000"/>
                <w:left w:val="single" w:sz="12" w:space="0" w:color="000000"/>
                <w:bottom w:val="single" w:sz="12" w:space="0" w:color="000000"/>
                <w:right w:val="single" w:sz="12" w:space="0" w:color="000000"/>
              </w:divBdr>
            </w:div>
            <w:div w:id="973370690">
              <w:marLeft w:val="0"/>
              <w:marRight w:val="0"/>
              <w:marTop w:val="0"/>
              <w:marBottom w:val="0"/>
              <w:divBdr>
                <w:top w:val="none" w:sz="0" w:space="0" w:color="auto"/>
                <w:left w:val="none" w:sz="0" w:space="0" w:color="auto"/>
                <w:bottom w:val="none" w:sz="0" w:space="0" w:color="auto"/>
                <w:right w:val="none" w:sz="0" w:space="0" w:color="auto"/>
              </w:divBdr>
            </w:div>
            <w:div w:id="2072266894">
              <w:marLeft w:val="0"/>
              <w:marRight w:val="0"/>
              <w:marTop w:val="0"/>
              <w:marBottom w:val="0"/>
              <w:divBdr>
                <w:top w:val="none" w:sz="0" w:space="0" w:color="auto"/>
                <w:left w:val="none" w:sz="0" w:space="0" w:color="auto"/>
                <w:bottom w:val="none" w:sz="0" w:space="0" w:color="auto"/>
                <w:right w:val="none" w:sz="0" w:space="0" w:color="auto"/>
              </w:divBdr>
            </w:div>
          </w:divsChild>
        </w:div>
        <w:div w:id="1379234373">
          <w:marLeft w:val="0"/>
          <w:marRight w:val="0"/>
          <w:marTop w:val="0"/>
          <w:marBottom w:val="0"/>
          <w:divBdr>
            <w:top w:val="none" w:sz="0" w:space="0" w:color="auto"/>
            <w:left w:val="none" w:sz="0" w:space="0" w:color="auto"/>
            <w:bottom w:val="none" w:sz="0" w:space="0" w:color="auto"/>
            <w:right w:val="none" w:sz="0" w:space="0" w:color="auto"/>
          </w:divBdr>
          <w:divsChild>
            <w:div w:id="1261135412">
              <w:marLeft w:val="0"/>
              <w:marRight w:val="0"/>
              <w:marTop w:val="0"/>
              <w:marBottom w:val="0"/>
              <w:divBdr>
                <w:top w:val="single" w:sz="12" w:space="0" w:color="000000"/>
                <w:left w:val="single" w:sz="12" w:space="0" w:color="000000"/>
                <w:bottom w:val="single" w:sz="12" w:space="0" w:color="000000"/>
                <w:right w:val="single" w:sz="12" w:space="0" w:color="000000"/>
              </w:divBdr>
            </w:div>
            <w:div w:id="1552620521">
              <w:marLeft w:val="0"/>
              <w:marRight w:val="0"/>
              <w:marTop w:val="0"/>
              <w:marBottom w:val="0"/>
              <w:divBdr>
                <w:top w:val="none" w:sz="0" w:space="0" w:color="auto"/>
                <w:left w:val="none" w:sz="0" w:space="0" w:color="auto"/>
                <w:bottom w:val="none" w:sz="0" w:space="0" w:color="auto"/>
                <w:right w:val="none" w:sz="0" w:space="0" w:color="auto"/>
              </w:divBdr>
            </w:div>
            <w:div w:id="2023505069">
              <w:marLeft w:val="0"/>
              <w:marRight w:val="0"/>
              <w:marTop w:val="0"/>
              <w:marBottom w:val="0"/>
              <w:divBdr>
                <w:top w:val="none" w:sz="0" w:space="0" w:color="auto"/>
                <w:left w:val="none" w:sz="0" w:space="0" w:color="auto"/>
                <w:bottom w:val="none" w:sz="0" w:space="0" w:color="auto"/>
                <w:right w:val="none" w:sz="0" w:space="0" w:color="auto"/>
              </w:divBdr>
            </w:div>
          </w:divsChild>
        </w:div>
        <w:div w:id="1781217819">
          <w:marLeft w:val="0"/>
          <w:marRight w:val="0"/>
          <w:marTop w:val="0"/>
          <w:marBottom w:val="0"/>
          <w:divBdr>
            <w:top w:val="none" w:sz="0" w:space="0" w:color="auto"/>
            <w:left w:val="none" w:sz="0" w:space="0" w:color="auto"/>
            <w:bottom w:val="none" w:sz="0" w:space="0" w:color="auto"/>
            <w:right w:val="none" w:sz="0" w:space="0" w:color="auto"/>
          </w:divBdr>
          <w:divsChild>
            <w:div w:id="47457066">
              <w:marLeft w:val="0"/>
              <w:marRight w:val="0"/>
              <w:marTop w:val="0"/>
              <w:marBottom w:val="0"/>
              <w:divBdr>
                <w:top w:val="single" w:sz="12" w:space="0" w:color="000000"/>
                <w:left w:val="single" w:sz="12" w:space="0" w:color="000000"/>
                <w:bottom w:val="single" w:sz="12" w:space="0" w:color="000000"/>
                <w:right w:val="single" w:sz="12" w:space="0" w:color="000000"/>
              </w:divBdr>
            </w:div>
            <w:div w:id="46558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9.png"/><Relationship Id="rId21" Type="http://schemas.openxmlformats.org/officeDocument/2006/relationships/header" Target="header10.xml"/><Relationship Id="rId42" Type="http://schemas.openxmlformats.org/officeDocument/2006/relationships/hyperlink" Target="http://www.ecfr.gov/cgi-bin/text-idx?SID=688869e46912766a00cfa2e7278e0a0a&amp;node=40:14.0.1.1.1.5&amp;rgn=div6" TargetMode="External"/><Relationship Id="rId47" Type="http://schemas.openxmlformats.org/officeDocument/2006/relationships/hyperlink" Target="http://www.ecfr.gov/cgi-bin/text-idx?SID=688869e46912766a00cfa2e7278e0a0a&amp;node=40:14.0.1.1.1.5&amp;rgn=div6" TargetMode="External"/><Relationship Id="rId63" Type="http://schemas.openxmlformats.org/officeDocument/2006/relationships/hyperlink" Target="http://www.ecfr.gov/cgi-bin/text-idx?SID=688869e46912766a00cfa2e7278e0a0a&amp;node=40:14.0.1.1.1.5&amp;rgn=div6" TargetMode="External"/><Relationship Id="rId68" Type="http://schemas.openxmlformats.org/officeDocument/2006/relationships/hyperlink" Target="http://www.ecfr.gov/cgi-bin/text-idx?SID=688869e46912766a00cfa2e7278e0a0a&amp;node=40:14.0.1.1.1.5&amp;rgn=div6" TargetMode="External"/><Relationship Id="rId84" Type="http://schemas.openxmlformats.org/officeDocument/2006/relationships/hyperlink" Target="http://www.ecfr.gov/cgi-bin/text-idx?SID=688869e46912766a00cfa2e7278e0a0a&amp;node=40:14.0.1.1.1.5&amp;rgn=div6" TargetMode="External"/><Relationship Id="rId89" Type="http://schemas.openxmlformats.org/officeDocument/2006/relationships/hyperlink" Target="http://www.ecfr.gov/cgi-bin/text-idx?SID=688869e46912766a00cfa2e7278e0a0a&amp;node=40:14.0.1.1.1.5&amp;rgn=div6" TargetMode="External"/><Relationship Id="rId112" Type="http://schemas.openxmlformats.org/officeDocument/2006/relationships/hyperlink" Target="http://www.ecfr.gov/graphics/pdfs/er31ja13.005.pdf" TargetMode="External"/><Relationship Id="rId133" Type="http://schemas.openxmlformats.org/officeDocument/2006/relationships/image" Target="media/image16.png"/><Relationship Id="rId138" Type="http://schemas.openxmlformats.org/officeDocument/2006/relationships/hyperlink" Target="http://www.ecfr.gov/graphics/pdfs/er31ja13.014.pdf" TargetMode="External"/><Relationship Id="rId154" Type="http://schemas.openxmlformats.org/officeDocument/2006/relationships/hyperlink" Target="http://www.ecfr.gov/graphics/pdfs/er31ja13.022.pdf" TargetMode="External"/><Relationship Id="rId159" Type="http://schemas.openxmlformats.org/officeDocument/2006/relationships/hyperlink" Target="http://www.ecfr.gov/graphics/pdfs/er31ja13.024.pdf" TargetMode="External"/><Relationship Id="rId175" Type="http://schemas.openxmlformats.org/officeDocument/2006/relationships/image" Target="media/image30.png"/><Relationship Id="rId170" Type="http://schemas.openxmlformats.org/officeDocument/2006/relationships/hyperlink" Target="http://www.ecfr.gov/cgi-bin/text-idx?SID=688869e46912766a00cfa2e7278e0a0a&amp;node=40:14.0.1.1.1.5&amp;rgn=div6" TargetMode="External"/><Relationship Id="rId191" Type="http://schemas.openxmlformats.org/officeDocument/2006/relationships/hyperlink" Target="http://www.ecfr.gov/cgi-bin/text-idx?SID=688869e46912766a00cfa2e7278e0a0a&amp;node=40:14.0.1.1.1.5&amp;rgn=div6" TargetMode="External"/><Relationship Id="rId196" Type="http://schemas.openxmlformats.org/officeDocument/2006/relationships/header" Target="header23.xml"/><Relationship Id="rId16" Type="http://schemas.openxmlformats.org/officeDocument/2006/relationships/footer" Target="footer3.xml"/><Relationship Id="rId107" Type="http://schemas.openxmlformats.org/officeDocument/2006/relationships/hyperlink" Target="http://www.ecfr.gov/cgi-bin/text-idx?SID=688869e46912766a00cfa2e7278e0a0a&amp;node=40:14.0.1.1.1.5&amp;rgn=div6" TargetMode="External"/><Relationship Id="rId11" Type="http://schemas.openxmlformats.org/officeDocument/2006/relationships/header" Target="header3.xml"/><Relationship Id="rId32" Type="http://schemas.openxmlformats.org/officeDocument/2006/relationships/footer" Target="footer7.xml"/><Relationship Id="rId37" Type="http://schemas.openxmlformats.org/officeDocument/2006/relationships/header" Target="header20.xml"/><Relationship Id="rId53" Type="http://schemas.openxmlformats.org/officeDocument/2006/relationships/hyperlink" Target="http://www.ecfr.gov/cgi-bin/text-idx?SID=688869e46912766a00cfa2e7278e0a0a&amp;node=40:14.0.1.1.1.5&amp;rgn=div6" TargetMode="External"/><Relationship Id="rId58" Type="http://schemas.openxmlformats.org/officeDocument/2006/relationships/hyperlink" Target="http://www.ecfr.gov/cgi-bin/text-idx?SID=688869e46912766a00cfa2e7278e0a0a&amp;node=40:14.0.1.1.1.5&amp;rgn=div6" TargetMode="External"/><Relationship Id="rId74" Type="http://schemas.openxmlformats.org/officeDocument/2006/relationships/hyperlink" Target="http://www.ecfr.gov/cgi-bin/text-idx?SID=688869e46912766a00cfa2e7278e0a0a&amp;node=40:14.0.1.1.1.5&amp;rgn=div6" TargetMode="External"/><Relationship Id="rId79" Type="http://schemas.openxmlformats.org/officeDocument/2006/relationships/hyperlink" Target="http://www.ecfr.gov/cgi-bin/text-idx?SID=688869e46912766a00cfa2e7278e0a0a&amp;node=40:14.0.1.1.1.5&amp;rgn=div6" TargetMode="External"/><Relationship Id="rId102" Type="http://schemas.openxmlformats.org/officeDocument/2006/relationships/hyperlink" Target="http://www.ecfr.gov/cgi-bin/text-idx?SID=688869e46912766a00cfa2e7278e0a0a&amp;node=40:14.0.1.1.1.5&amp;rgn=div6" TargetMode="External"/><Relationship Id="rId123" Type="http://schemas.openxmlformats.org/officeDocument/2006/relationships/image" Target="media/image12.png"/><Relationship Id="rId128" Type="http://schemas.openxmlformats.org/officeDocument/2006/relationships/hyperlink" Target="http://www.ecfr.gov/graphics/pdfs/er31ja13.012.pdf" TargetMode="External"/><Relationship Id="rId144" Type="http://schemas.openxmlformats.org/officeDocument/2006/relationships/hyperlink" Target="http://www.ecfr.gov/graphics/pdfs/er31ja13.017.pdf" TargetMode="External"/><Relationship Id="rId149" Type="http://schemas.openxmlformats.org/officeDocument/2006/relationships/image" Target="media/image24.png"/><Relationship Id="rId5" Type="http://schemas.openxmlformats.org/officeDocument/2006/relationships/webSettings" Target="webSettings.xml"/><Relationship Id="rId90" Type="http://schemas.openxmlformats.org/officeDocument/2006/relationships/hyperlink" Target="http://www.ecfr.gov/cgi-bin/text-idx?SID=688869e46912766a00cfa2e7278e0a0a&amp;node=40:14.0.1.1.1.5&amp;rgn=div6#_top" TargetMode="External"/><Relationship Id="rId95" Type="http://schemas.openxmlformats.org/officeDocument/2006/relationships/hyperlink" Target="http://www.ecfr.gov/cgi-bin/text-idx?SID=688869e46912766a00cfa2e7278e0a0a&amp;node=40:14.0.1.1.1.5&amp;rgn=div6" TargetMode="External"/><Relationship Id="rId160" Type="http://schemas.openxmlformats.org/officeDocument/2006/relationships/hyperlink" Target="http://www.ecfr.gov/cgi-bin/text-idx?SID=688869e46912766a00cfa2e7278e0a0a&amp;node=40:14.0.1.1.1.5&amp;rgn=div6" TargetMode="External"/><Relationship Id="rId165" Type="http://schemas.openxmlformats.org/officeDocument/2006/relationships/hyperlink" Target="http://www.ecfr.gov/cgi-bin/text-idx?SID=688869e46912766a00cfa2e7278e0a0a&amp;node=40:14.0.1.1.1.5&amp;rgn=div6" TargetMode="External"/><Relationship Id="rId181" Type="http://schemas.openxmlformats.org/officeDocument/2006/relationships/image" Target="media/image33.png"/><Relationship Id="rId186" Type="http://schemas.openxmlformats.org/officeDocument/2006/relationships/hyperlink" Target="http://www.ecfr.gov/cgi-bin/text-idx?SID=688869e46912766a00cfa2e7278e0a0a&amp;node=40:14.0.1.1.1.5&amp;rgn=div6" TargetMode="External"/><Relationship Id="rId22" Type="http://schemas.openxmlformats.org/officeDocument/2006/relationships/header" Target="header11.xml"/><Relationship Id="rId27" Type="http://schemas.openxmlformats.org/officeDocument/2006/relationships/header" Target="header15.xml"/><Relationship Id="rId43" Type="http://schemas.openxmlformats.org/officeDocument/2006/relationships/hyperlink" Target="http://www.ecfr.gov/cgi-bin/text-idx?SID=688869e46912766a00cfa2e7278e0a0a&amp;node=40:14.0.1.1.1.5&amp;rgn=div6" TargetMode="External"/><Relationship Id="rId48" Type="http://schemas.openxmlformats.org/officeDocument/2006/relationships/hyperlink" Target="http://www.ecfr.gov/cgi-bin/text-idx?SID=688869e46912766a00cfa2e7278e0a0a&amp;node=40:14.0.1.1.1.5&amp;rgn=div6" TargetMode="External"/><Relationship Id="rId64" Type="http://schemas.openxmlformats.org/officeDocument/2006/relationships/hyperlink" Target="http://www.ecfr.gov/cgi-bin/text-idx?SID=688869e46912766a00cfa2e7278e0a0a&amp;node=40:14.0.1.1.1.5&amp;rgn=div6" TargetMode="External"/><Relationship Id="rId69" Type="http://schemas.openxmlformats.org/officeDocument/2006/relationships/hyperlink" Target="http://www.ecfr.gov/cgi-bin/text-idx?SID=688869e46912766a00cfa2e7278e0a0a&amp;node=40:14.0.1.1.1.5&amp;rgn=div6" TargetMode="External"/><Relationship Id="rId113" Type="http://schemas.openxmlformats.org/officeDocument/2006/relationships/image" Target="media/image7.png"/><Relationship Id="rId118" Type="http://schemas.openxmlformats.org/officeDocument/2006/relationships/hyperlink" Target="http://www.ecfr.gov/graphics/pdfs/er31ja13.008.pdf" TargetMode="External"/><Relationship Id="rId134" Type="http://schemas.openxmlformats.org/officeDocument/2006/relationships/hyperlink" Target="http://www.ecfr.gov/graphics/pdfs/er21mr11.007.pdf" TargetMode="External"/><Relationship Id="rId139" Type="http://schemas.openxmlformats.org/officeDocument/2006/relationships/image" Target="media/image19.png"/><Relationship Id="rId80" Type="http://schemas.openxmlformats.org/officeDocument/2006/relationships/hyperlink" Target="http://www.ecfr.gov/cgi-bin/text-idx?SID=688869e46912766a00cfa2e7278e0a0a&amp;node=40:14.0.1.1.1.5&amp;rgn=div6" TargetMode="External"/><Relationship Id="rId85" Type="http://schemas.openxmlformats.org/officeDocument/2006/relationships/hyperlink" Target="http://www.ecfr.gov/cgi-bin/text-idx?SID=688869e46912766a00cfa2e7278e0a0a&amp;node=40:14.0.1.1.1.5&amp;rgn=div6" TargetMode="External"/><Relationship Id="rId150" Type="http://schemas.openxmlformats.org/officeDocument/2006/relationships/hyperlink" Target="http://www.ecfr.gov/graphics/pdfs/er31ja13.020.pdf" TargetMode="External"/><Relationship Id="rId155" Type="http://schemas.openxmlformats.org/officeDocument/2006/relationships/hyperlink" Target="http://www.ecfr.gov/cgi-bin/text-idx?SID=688869e46912766a00cfa2e7278e0a0a&amp;node=40:14.0.1.1.1.5&amp;rgn=div6" TargetMode="External"/><Relationship Id="rId171" Type="http://schemas.openxmlformats.org/officeDocument/2006/relationships/hyperlink" Target="http://www.ecfr.gov/cgi-bin/text-idx?SID=688869e46912766a00cfa2e7278e0a0a&amp;node=40:14.0.1.1.1.5&amp;rgn=div6" TargetMode="External"/><Relationship Id="rId176" Type="http://schemas.openxmlformats.org/officeDocument/2006/relationships/hyperlink" Target="http://www.ecfr.gov/graphics/pdfs/er31ja13.026.pdf" TargetMode="External"/><Relationship Id="rId192" Type="http://schemas.openxmlformats.org/officeDocument/2006/relationships/hyperlink" Target="http://www.ecfr.gov/cgi-bin/text-idx?SID=688869e46912766a00cfa2e7278e0a0a&amp;node=40:14.0.1.1.1.5&amp;rgn=div6" TargetMode="External"/><Relationship Id="rId197" Type="http://schemas.openxmlformats.org/officeDocument/2006/relationships/fontTable" Target="fontTable.xml"/><Relationship Id="rId12" Type="http://schemas.openxmlformats.org/officeDocument/2006/relationships/footer" Target="footer2.xml"/><Relationship Id="rId17" Type="http://schemas.openxmlformats.org/officeDocument/2006/relationships/header" Target="header7.xml"/><Relationship Id="rId33" Type="http://schemas.openxmlformats.org/officeDocument/2006/relationships/header" Target="header19.xml"/><Relationship Id="rId38" Type="http://schemas.openxmlformats.org/officeDocument/2006/relationships/header" Target="header21.xml"/><Relationship Id="rId59" Type="http://schemas.openxmlformats.org/officeDocument/2006/relationships/hyperlink" Target="http://www.ecfr.gov/cgi-bin/text-idx?SID=688869e46912766a00cfa2e7278e0a0a&amp;node=40:14.0.1.1.1.5&amp;rgn=div6" TargetMode="External"/><Relationship Id="rId103" Type="http://schemas.openxmlformats.org/officeDocument/2006/relationships/hyperlink" Target="http://www.ecfr.gov/cgi-bin/text-idx?SID=688869e46912766a00cfa2e7278e0a0a&amp;node=40:14.0.1.1.1.5&amp;rgn=div6" TargetMode="External"/><Relationship Id="rId108" Type="http://schemas.openxmlformats.org/officeDocument/2006/relationships/hyperlink" Target="http://www.ecfr.gov/cgi-bin/text-idx?SID=688869e46912766a00cfa2e7278e0a0a&amp;node=40:14.0.1.1.1.5&amp;rgn=div6" TargetMode="External"/><Relationship Id="rId124" Type="http://schemas.openxmlformats.org/officeDocument/2006/relationships/hyperlink" Target="http://www.ecfr.gov/graphics/pdfs/er31ja13.011.pdf" TargetMode="External"/><Relationship Id="rId129" Type="http://schemas.openxmlformats.org/officeDocument/2006/relationships/hyperlink" Target="http://www.ecfr.gov/cgi-bin/text-idx?SID=688869e46912766a00cfa2e7278e0a0a&amp;node=40:14.0.1.1.1.5&amp;rgn=div6" TargetMode="External"/><Relationship Id="rId54" Type="http://schemas.openxmlformats.org/officeDocument/2006/relationships/hyperlink" Target="http://www.ecfr.gov/cgi-bin/text-idx?SID=688869e46912766a00cfa2e7278e0a0a&amp;node=40:14.0.1.1.1.5&amp;rgn=div6" TargetMode="External"/><Relationship Id="rId70" Type="http://schemas.openxmlformats.org/officeDocument/2006/relationships/hyperlink" Target="http://www.ecfr.gov/cgi-bin/text-idx?SID=688869e46912766a00cfa2e7278e0a0a&amp;node=40:14.0.1.1.1.5&amp;rgn=div6" TargetMode="External"/><Relationship Id="rId75" Type="http://schemas.openxmlformats.org/officeDocument/2006/relationships/hyperlink" Target="http://www.ecfr.gov/cgi-bin/text-idx?SID=688869e46912766a00cfa2e7278e0a0a&amp;node=40:14.0.1.1.1.5&amp;rgn=div6" TargetMode="External"/><Relationship Id="rId91" Type="http://schemas.openxmlformats.org/officeDocument/2006/relationships/image" Target="media/image4.png"/><Relationship Id="rId96" Type="http://schemas.openxmlformats.org/officeDocument/2006/relationships/hyperlink" Target="http://www.ecfr.gov/cgi-bin/text-idx?SID=688869e46912766a00cfa2e7278e0a0a&amp;node=40:14.0.1.1.1.5&amp;rgn=div6" TargetMode="External"/><Relationship Id="rId140" Type="http://schemas.openxmlformats.org/officeDocument/2006/relationships/hyperlink" Target="http://www.ecfr.gov/graphics/pdfs/er31ja13.015.pdf" TargetMode="External"/><Relationship Id="rId145" Type="http://schemas.openxmlformats.org/officeDocument/2006/relationships/image" Target="media/image22.png"/><Relationship Id="rId161" Type="http://schemas.openxmlformats.org/officeDocument/2006/relationships/hyperlink" Target="http://www.ecfr.gov/cgi-bin/text-idx?SID=688869e46912766a00cfa2e7278e0a0a&amp;node=40:14.0.1.1.1.5&amp;rgn=div6" TargetMode="External"/><Relationship Id="rId166" Type="http://schemas.openxmlformats.org/officeDocument/2006/relationships/hyperlink" Target="http://www.ecfr.gov/cgi-bin/text-idx?SID=688869e46912766a00cfa2e7278e0a0a&amp;node=40:14.0.1.1.1.5&amp;rgn=div6" TargetMode="External"/><Relationship Id="rId182" Type="http://schemas.openxmlformats.org/officeDocument/2006/relationships/hyperlink" Target="http://www.ecfr.gov/graphics/pdfs/er31ja13.029.pdf" TargetMode="External"/><Relationship Id="rId187" Type="http://schemas.openxmlformats.org/officeDocument/2006/relationships/hyperlink" Target="http://www.ecfr.gov/cgi-bin/text-idx?SID=688869e46912766a00cfa2e7278e0a0a&amp;node=40:14.0.1.1.1.5&amp;rgn=div6"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12.xml"/><Relationship Id="rId28" Type="http://schemas.openxmlformats.org/officeDocument/2006/relationships/footer" Target="footer6.xml"/><Relationship Id="rId49" Type="http://schemas.openxmlformats.org/officeDocument/2006/relationships/hyperlink" Target="http://www.ecfr.gov/cgi-bin/text-idx?SID=688869e46912766a00cfa2e7278e0a0a&amp;node=40:14.0.1.1.1.5&amp;rgn=div6" TargetMode="External"/><Relationship Id="rId114" Type="http://schemas.openxmlformats.org/officeDocument/2006/relationships/hyperlink" Target="http://www.ecfr.gov/graphics/pdfs/er31ja13.006.pdf" TargetMode="External"/><Relationship Id="rId119" Type="http://schemas.openxmlformats.org/officeDocument/2006/relationships/image" Target="media/image10.png"/><Relationship Id="rId44" Type="http://schemas.openxmlformats.org/officeDocument/2006/relationships/hyperlink" Target="http://www.ecfr.gov/cgi-bin/text-idx?SID=688869e46912766a00cfa2e7278e0a0a&amp;node=40:14.0.1.1.1.5&amp;rgn=div6" TargetMode="External"/><Relationship Id="rId60" Type="http://schemas.openxmlformats.org/officeDocument/2006/relationships/hyperlink" Target="http://www.ecfr.gov/cgi-bin/text-idx?SID=688869e46912766a00cfa2e7278e0a0a&amp;node=40:14.0.1.1.1.5&amp;rgn=div6" TargetMode="External"/><Relationship Id="rId65" Type="http://schemas.openxmlformats.org/officeDocument/2006/relationships/hyperlink" Target="http://www.ecfr.gov/cgi-bin/text-idx?SID=688869e46912766a00cfa2e7278e0a0a&amp;node=40:14.0.1.1.1.5&amp;rgn=div6" TargetMode="External"/><Relationship Id="rId81" Type="http://schemas.openxmlformats.org/officeDocument/2006/relationships/hyperlink" Target="http://www.ecfr.gov/cgi-bin/text-idx?SID=688869e46912766a00cfa2e7278e0a0a&amp;node=40:14.0.1.1.1.5&amp;rgn=div6" TargetMode="External"/><Relationship Id="rId86" Type="http://schemas.openxmlformats.org/officeDocument/2006/relationships/hyperlink" Target="http://www.ecfr.gov/cgi-bin/text-idx?SID=688869e46912766a00cfa2e7278e0a0a&amp;node=40:14.0.1.1.1.5&amp;rgn=div6" TargetMode="External"/><Relationship Id="rId130" Type="http://schemas.openxmlformats.org/officeDocument/2006/relationships/hyperlink" Target="http://www.ecfr.gov/cgi-bin/text-idx?SID=688869e46912766a00cfa2e7278e0a0a&amp;node=40:14.0.1.1.1.5&amp;rgn=div6" TargetMode="External"/><Relationship Id="rId135" Type="http://schemas.openxmlformats.org/officeDocument/2006/relationships/image" Target="media/image17.png"/><Relationship Id="rId151" Type="http://schemas.openxmlformats.org/officeDocument/2006/relationships/image" Target="media/image25.png"/><Relationship Id="rId156" Type="http://schemas.openxmlformats.org/officeDocument/2006/relationships/image" Target="media/image27.png"/><Relationship Id="rId177" Type="http://schemas.openxmlformats.org/officeDocument/2006/relationships/image" Target="media/image31.png"/><Relationship Id="rId198" Type="http://schemas.openxmlformats.org/officeDocument/2006/relationships/theme" Target="theme/theme1.xml"/><Relationship Id="rId172" Type="http://schemas.openxmlformats.org/officeDocument/2006/relationships/hyperlink" Target="http://www.ecfr.gov/cgi-bin/text-idx?SID=688869e46912766a00cfa2e7278e0a0a&amp;node=40:14.0.1.1.1.5&amp;rgn=div6" TargetMode="External"/><Relationship Id="rId193" Type="http://schemas.openxmlformats.org/officeDocument/2006/relationships/hyperlink" Target="http://www.ecfr.gov/cgi-bin/text-idx?SID=688869e46912766a00cfa2e7278e0a0a&amp;node=40:14.0.1.1.1.5&amp;rgn=div6" TargetMode="Externa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footer" Target="footer8.xml"/><Relationship Id="rId109" Type="http://schemas.openxmlformats.org/officeDocument/2006/relationships/image" Target="media/image5.png"/><Relationship Id="rId34" Type="http://schemas.openxmlformats.org/officeDocument/2006/relationships/image" Target="media/image1.png"/><Relationship Id="rId50" Type="http://schemas.openxmlformats.org/officeDocument/2006/relationships/hyperlink" Target="http://www.ecfr.gov/cgi-bin/text-idx?SID=688869e46912766a00cfa2e7278e0a0a&amp;node=40:14.0.1.1.1.5&amp;rgn=div6" TargetMode="External"/><Relationship Id="rId55" Type="http://schemas.openxmlformats.org/officeDocument/2006/relationships/hyperlink" Target="http://www.ecfr.gov/cgi-bin/text-idx?SID=688869e46912766a00cfa2e7278e0a0a&amp;node=40:14.0.1.1.1.5&amp;rgn=div6" TargetMode="External"/><Relationship Id="rId76" Type="http://schemas.openxmlformats.org/officeDocument/2006/relationships/hyperlink" Target="http://www.ecfr.gov/cgi-bin/text-idx?SID=688869e46912766a00cfa2e7278e0a0a&amp;node=40:14.0.1.1.1.5&amp;rgn=div6" TargetMode="External"/><Relationship Id="rId97" Type="http://schemas.openxmlformats.org/officeDocument/2006/relationships/hyperlink" Target="http://www.ecfr.gov/cgi-bin/text-idx?SID=688869e46912766a00cfa2e7278e0a0a&amp;node=40:14.0.1.1.1.5&amp;rgn=div6" TargetMode="External"/><Relationship Id="rId104" Type="http://schemas.openxmlformats.org/officeDocument/2006/relationships/hyperlink" Target="http://www.ecfr.gov/cgi-bin/text-idx?SID=688869e46912766a00cfa2e7278e0a0a&amp;node=40:14.0.1.1.1.5&amp;rgn=div6" TargetMode="External"/><Relationship Id="rId120" Type="http://schemas.openxmlformats.org/officeDocument/2006/relationships/hyperlink" Target="http://www.ecfr.gov/graphics/pdfs/er31ja13.009.pdf" TargetMode="External"/><Relationship Id="rId125" Type="http://schemas.openxmlformats.org/officeDocument/2006/relationships/image" Target="media/image13.png"/><Relationship Id="rId141" Type="http://schemas.openxmlformats.org/officeDocument/2006/relationships/image" Target="media/image20.png"/><Relationship Id="rId146" Type="http://schemas.openxmlformats.org/officeDocument/2006/relationships/hyperlink" Target="http://www.ecfr.gov/graphics/pdfs/er31ja13.018.pdf" TargetMode="External"/><Relationship Id="rId167" Type="http://schemas.openxmlformats.org/officeDocument/2006/relationships/hyperlink" Target="http://www.ecfr.gov/cgi-bin/text-idx?SID=688869e46912766a00cfa2e7278e0a0a&amp;node=40:14.0.1.1.1.5&amp;rgn=div6" TargetMode="External"/><Relationship Id="rId188" Type="http://schemas.openxmlformats.org/officeDocument/2006/relationships/hyperlink" Target="http://www.ecfr.gov/cgi-bin/text-idx?SID=688869e46912766a00cfa2e7278e0a0a&amp;node=40:14.0.1.1.1.5&amp;rgn=div6" TargetMode="External"/><Relationship Id="rId7" Type="http://schemas.openxmlformats.org/officeDocument/2006/relationships/endnotes" Target="endnotes.xml"/><Relationship Id="rId71" Type="http://schemas.openxmlformats.org/officeDocument/2006/relationships/hyperlink" Target="http://www.ecfr.gov/cgi-bin/text-idx?SID=688869e46912766a00cfa2e7278e0a0a&amp;node=40:14.0.1.1.1.5&amp;rgn=div6" TargetMode="External"/><Relationship Id="rId92" Type="http://schemas.openxmlformats.org/officeDocument/2006/relationships/hyperlink" Target="http://www.ecfr.gov/cgi-bin/text-idx?SID=688869e46912766a00cfa2e7278e0a0a&amp;node=40:14.0.1.1.1.5&amp;rgn=div6" TargetMode="External"/><Relationship Id="rId162" Type="http://schemas.openxmlformats.org/officeDocument/2006/relationships/hyperlink" Target="http://www.ecfr.gov/cgi-bin/text-idx?SID=688869e46912766a00cfa2e7278e0a0a&amp;node=40:14.0.1.1.1.5&amp;rgn=div6" TargetMode="External"/><Relationship Id="rId183" Type="http://schemas.openxmlformats.org/officeDocument/2006/relationships/hyperlink" Target="http://www.ecfr.gov/cgi-bin/text-idx?SID=688869e46912766a00cfa2e7278e0a0a&amp;node=40:14.0.1.1.1.5&amp;rgn=div6" TargetMode="External"/><Relationship Id="rId2" Type="http://schemas.openxmlformats.org/officeDocument/2006/relationships/numbering" Target="numbering.xml"/><Relationship Id="rId29" Type="http://schemas.openxmlformats.org/officeDocument/2006/relationships/header" Target="header16.xml"/><Relationship Id="rId24" Type="http://schemas.openxmlformats.org/officeDocument/2006/relationships/footer" Target="footer5.xml"/><Relationship Id="rId40" Type="http://schemas.openxmlformats.org/officeDocument/2006/relationships/header" Target="header22.xml"/><Relationship Id="rId45" Type="http://schemas.openxmlformats.org/officeDocument/2006/relationships/hyperlink" Target="http://www.ecfr.gov/cgi-bin/text-idx?SID=688869e46912766a00cfa2e7278e0a0a&amp;node=40:14.0.1.1.1.5&amp;rgn=div6" TargetMode="External"/><Relationship Id="rId66" Type="http://schemas.openxmlformats.org/officeDocument/2006/relationships/hyperlink" Target="http://www.ecfr.gov/cgi-bin/text-idx?SID=688869e46912766a00cfa2e7278e0a0a&amp;node=40:14.0.1.1.1.5&amp;rgn=div6" TargetMode="External"/><Relationship Id="rId87" Type="http://schemas.openxmlformats.org/officeDocument/2006/relationships/hyperlink" Target="http://www.ecfr.gov/cgi-bin/text-idx?SID=688869e46912766a00cfa2e7278e0a0a&amp;node=40:14.0.1.1.1.5&amp;rgn=div6" TargetMode="External"/><Relationship Id="rId110" Type="http://schemas.openxmlformats.org/officeDocument/2006/relationships/hyperlink" Target="http://www.ecfr.gov/graphics/pdfs/er31ja13.004.pdf" TargetMode="External"/><Relationship Id="rId115" Type="http://schemas.openxmlformats.org/officeDocument/2006/relationships/image" Target="media/image8.png"/><Relationship Id="rId131" Type="http://schemas.openxmlformats.org/officeDocument/2006/relationships/image" Target="media/image15.png"/><Relationship Id="rId136" Type="http://schemas.openxmlformats.org/officeDocument/2006/relationships/hyperlink" Target="http://www.ecfr.gov/graphics/pdfs/er31ja13.013.pdf" TargetMode="External"/><Relationship Id="rId157" Type="http://schemas.openxmlformats.org/officeDocument/2006/relationships/hyperlink" Target="http://www.ecfr.gov/graphics/pdfs/er31ja13.023.pdf" TargetMode="External"/><Relationship Id="rId178" Type="http://schemas.openxmlformats.org/officeDocument/2006/relationships/hyperlink" Target="http://www.ecfr.gov/graphics/pdfs/er31ja13.027.pdf" TargetMode="External"/><Relationship Id="rId61" Type="http://schemas.openxmlformats.org/officeDocument/2006/relationships/hyperlink" Target="http://www.ecfr.gov/cgi-bin/text-idx?SID=688869e46912766a00cfa2e7278e0a0a&amp;node=40:14.0.1.1.1.5&amp;rgn=div6" TargetMode="External"/><Relationship Id="rId82" Type="http://schemas.openxmlformats.org/officeDocument/2006/relationships/hyperlink" Target="http://www.ecfr.gov/cgi-bin/text-idx?SID=688869e46912766a00cfa2e7278e0a0a&amp;node=40:14.0.1.1.1.5&amp;rgn=div6" TargetMode="External"/><Relationship Id="rId152" Type="http://schemas.openxmlformats.org/officeDocument/2006/relationships/hyperlink" Target="http://www.ecfr.gov/graphics/pdfs/er31ja13.021.pdf" TargetMode="External"/><Relationship Id="rId173" Type="http://schemas.openxmlformats.org/officeDocument/2006/relationships/image" Target="media/image29.png"/><Relationship Id="rId194" Type="http://schemas.openxmlformats.org/officeDocument/2006/relationships/hyperlink" Target="http://www.ecfr.gov/cgi-bin/text-idx?SID=688869e46912766a00cfa2e7278e0a0a&amp;node=40:14.0.1.1.1.5&amp;rgn=div6" TargetMode="External"/><Relationship Id="rId19" Type="http://schemas.openxmlformats.org/officeDocument/2006/relationships/header" Target="header9.xml"/><Relationship Id="rId14" Type="http://schemas.openxmlformats.org/officeDocument/2006/relationships/header" Target="header5.xml"/><Relationship Id="rId30" Type="http://schemas.openxmlformats.org/officeDocument/2006/relationships/header" Target="header17.xml"/><Relationship Id="rId35" Type="http://schemas.openxmlformats.org/officeDocument/2006/relationships/image" Target="media/image2.png"/><Relationship Id="rId56" Type="http://schemas.openxmlformats.org/officeDocument/2006/relationships/hyperlink" Target="http://www.ecfr.gov/cgi-bin/text-idx?SID=688869e46912766a00cfa2e7278e0a0a&amp;node=40:14.0.1.1.1.5&amp;rgn=div6" TargetMode="External"/><Relationship Id="rId77" Type="http://schemas.openxmlformats.org/officeDocument/2006/relationships/hyperlink" Target="http://www.ecfr.gov/cgi-bin/text-idx?SID=688869e46912766a00cfa2e7278e0a0a&amp;node=40:14.0.1.1.1.5&amp;rgn=div6" TargetMode="External"/><Relationship Id="rId100" Type="http://schemas.openxmlformats.org/officeDocument/2006/relationships/hyperlink" Target="http://www.ecfr.gov/cgi-bin/text-idx?SID=688869e46912766a00cfa2e7278e0a0a&amp;node=40:14.0.1.1.1.5&amp;rgn=div6" TargetMode="External"/><Relationship Id="rId105" Type="http://schemas.openxmlformats.org/officeDocument/2006/relationships/hyperlink" Target="http://www.ecfr.gov/cgi-bin/text-idx?SID=688869e46912766a00cfa2e7278e0a0a&amp;node=40:14.0.1.1.1.5&amp;rgn=div6" TargetMode="External"/><Relationship Id="rId126" Type="http://schemas.openxmlformats.org/officeDocument/2006/relationships/hyperlink" Target="http://www.ecfr.gov/graphics/pdfs/er21mr11.004.pdf" TargetMode="External"/><Relationship Id="rId147" Type="http://schemas.openxmlformats.org/officeDocument/2006/relationships/image" Target="media/image23.png"/><Relationship Id="rId168" Type="http://schemas.openxmlformats.org/officeDocument/2006/relationships/hyperlink" Target="http://www.ecfr.gov/cgi-bin/text-idx?SID=688869e46912766a00cfa2e7278e0a0a&amp;node=40:14.0.1.1.1.5&amp;rgn=div6" TargetMode="External"/><Relationship Id="rId8" Type="http://schemas.openxmlformats.org/officeDocument/2006/relationships/header" Target="header1.xml"/><Relationship Id="rId51" Type="http://schemas.openxmlformats.org/officeDocument/2006/relationships/hyperlink" Target="http://www.ecfr.gov/cgi-bin/text-idx?SID=688869e46912766a00cfa2e7278e0a0a&amp;node=40:14.0.1.1.1.5&amp;rgn=div6" TargetMode="External"/><Relationship Id="rId72" Type="http://schemas.openxmlformats.org/officeDocument/2006/relationships/hyperlink" Target="http://www.ecfr.gov/cgi-bin/text-idx?SID=688869e46912766a00cfa2e7278e0a0a&amp;node=40:14.0.1.1.1.5&amp;rgn=div6" TargetMode="External"/><Relationship Id="rId93" Type="http://schemas.openxmlformats.org/officeDocument/2006/relationships/hyperlink" Target="http://www.ecfr.gov/cgi-bin/text-idx?SID=688869e46912766a00cfa2e7278e0a0a&amp;node=40:14.0.1.1.1.5&amp;rgn=div6" TargetMode="External"/><Relationship Id="rId98" Type="http://schemas.openxmlformats.org/officeDocument/2006/relationships/hyperlink" Target="http://www.ecfr.gov/cgi-bin/text-idx?SID=688869e46912766a00cfa2e7278e0a0a&amp;node=40:14.0.1.1.1.5&amp;rgn=div6" TargetMode="External"/><Relationship Id="rId121" Type="http://schemas.openxmlformats.org/officeDocument/2006/relationships/image" Target="media/image11.png"/><Relationship Id="rId142" Type="http://schemas.openxmlformats.org/officeDocument/2006/relationships/hyperlink" Target="http://www.ecfr.gov/graphics/pdfs/er31ja13.016.pdf" TargetMode="External"/><Relationship Id="rId163" Type="http://schemas.openxmlformats.org/officeDocument/2006/relationships/hyperlink" Target="http://www.ecfr.gov/cgi-bin/text-idx?SID=688869e46912766a00cfa2e7278e0a0a&amp;node=40:14.0.1.1.1.5&amp;rgn=div6" TargetMode="External"/><Relationship Id="rId184" Type="http://schemas.openxmlformats.org/officeDocument/2006/relationships/hyperlink" Target="http://www.ecfr.gov/cgi-bin/text-idx?SID=688869e46912766a00cfa2e7278e0a0a&amp;node=40:14.0.1.1.1.5&amp;rgn=div6" TargetMode="External"/><Relationship Id="rId189" Type="http://schemas.openxmlformats.org/officeDocument/2006/relationships/hyperlink" Target="http://www.ecfr.gov/cgi-bin/text-idx?SID=688869e46912766a00cfa2e7278e0a0a&amp;node=40:14.0.1.1.1.5&amp;rgn=div6" TargetMode="External"/><Relationship Id="rId3" Type="http://schemas.openxmlformats.org/officeDocument/2006/relationships/styles" Target="styles.xml"/><Relationship Id="rId25" Type="http://schemas.openxmlformats.org/officeDocument/2006/relationships/header" Target="header13.xml"/><Relationship Id="rId46" Type="http://schemas.openxmlformats.org/officeDocument/2006/relationships/hyperlink" Target="http://www.ecfr.gov/cgi-bin/text-idx?SID=688869e46912766a00cfa2e7278e0a0a&amp;node=40:14.0.1.1.1.5&amp;rgn=div6" TargetMode="External"/><Relationship Id="rId67" Type="http://schemas.openxmlformats.org/officeDocument/2006/relationships/hyperlink" Target="http://www.ecfr.gov/cgi-bin/text-idx?SID=688869e46912766a00cfa2e7278e0a0a&amp;node=40:14.0.1.1.1.5&amp;rgn=div6" TargetMode="External"/><Relationship Id="rId116" Type="http://schemas.openxmlformats.org/officeDocument/2006/relationships/hyperlink" Target="http://www.ecfr.gov/graphics/pdfs/er31ja13.007.pdf" TargetMode="External"/><Relationship Id="rId137" Type="http://schemas.openxmlformats.org/officeDocument/2006/relationships/image" Target="media/image18.png"/><Relationship Id="rId158" Type="http://schemas.openxmlformats.org/officeDocument/2006/relationships/image" Target="media/image28.png"/><Relationship Id="rId20" Type="http://schemas.openxmlformats.org/officeDocument/2006/relationships/footer" Target="footer4.xml"/><Relationship Id="rId41" Type="http://schemas.openxmlformats.org/officeDocument/2006/relationships/hyperlink" Target="http://www.ecfr.gov/cgi-bin/retrieveECFR?gp=&amp;SID=688869e46912766a00cfa2e7278e0a0a&amp;n=40y14.0.1.1.1&amp;r=PART&amp;ty=HTML" TargetMode="External"/><Relationship Id="rId62" Type="http://schemas.openxmlformats.org/officeDocument/2006/relationships/hyperlink" Target="http://www.ecfr.gov/cgi-bin/text-idx?SID=688869e46912766a00cfa2e7278e0a0a&amp;node=40:14.0.1.1.1.5&amp;rgn=div6" TargetMode="External"/><Relationship Id="rId83" Type="http://schemas.openxmlformats.org/officeDocument/2006/relationships/hyperlink" Target="http://www.ecfr.gov/cgi-bin/text-idx?SID=688869e46912766a00cfa2e7278e0a0a&amp;node=40:14.0.1.1.1.5&amp;rgn=div6" TargetMode="External"/><Relationship Id="rId88" Type="http://schemas.openxmlformats.org/officeDocument/2006/relationships/hyperlink" Target="http://www.ecfr.gov/cgi-bin/text-idx?SID=688869e46912766a00cfa2e7278e0a0a&amp;node=40:14.0.1.1.1.5&amp;rgn=div6" TargetMode="External"/><Relationship Id="rId111" Type="http://schemas.openxmlformats.org/officeDocument/2006/relationships/image" Target="media/image6.png"/><Relationship Id="rId132" Type="http://schemas.openxmlformats.org/officeDocument/2006/relationships/hyperlink" Target="http://www.ecfr.gov/graphics/pdfs/er21mr11.006.pdf" TargetMode="External"/><Relationship Id="rId153" Type="http://schemas.openxmlformats.org/officeDocument/2006/relationships/image" Target="media/image26.png"/><Relationship Id="rId174" Type="http://schemas.openxmlformats.org/officeDocument/2006/relationships/hyperlink" Target="http://www.ecfr.gov/graphics/pdfs/er31ja13.025.pdf" TargetMode="External"/><Relationship Id="rId179" Type="http://schemas.openxmlformats.org/officeDocument/2006/relationships/image" Target="media/image32.png"/><Relationship Id="rId195" Type="http://schemas.openxmlformats.org/officeDocument/2006/relationships/hyperlink" Target="http://www.ecfr.gov/cgi-bin/text-idx?SID=688869e46912766a00cfa2e7278e0a0a&amp;node=40:14.0.1.1.1.5&amp;rgn=div6" TargetMode="External"/><Relationship Id="rId190" Type="http://schemas.openxmlformats.org/officeDocument/2006/relationships/hyperlink" Target="http://www.ecfr.gov/cgi-bin/text-idx?SID=688869e46912766a00cfa2e7278e0a0a&amp;node=40:14.0.1.1.1.5&amp;rgn=div6" TargetMode="External"/><Relationship Id="rId15" Type="http://schemas.openxmlformats.org/officeDocument/2006/relationships/header" Target="header6.xml"/><Relationship Id="rId36" Type="http://schemas.openxmlformats.org/officeDocument/2006/relationships/image" Target="media/image3.png"/><Relationship Id="rId57" Type="http://schemas.openxmlformats.org/officeDocument/2006/relationships/hyperlink" Target="http://www.ecfr.gov/cgi-bin/text-idx?SID=688869e46912766a00cfa2e7278e0a0a&amp;node=40:14.0.1.1.1.5&amp;rgn=div6" TargetMode="External"/><Relationship Id="rId106" Type="http://schemas.openxmlformats.org/officeDocument/2006/relationships/hyperlink" Target="http://www.ecfr.gov/cgi-bin/text-idx?SID=688869e46912766a00cfa2e7278e0a0a&amp;node=40:14.0.1.1.1.5&amp;rgn=div6" TargetMode="External"/><Relationship Id="rId127" Type="http://schemas.openxmlformats.org/officeDocument/2006/relationships/image" Target="media/image14.png"/><Relationship Id="rId10" Type="http://schemas.openxmlformats.org/officeDocument/2006/relationships/header" Target="header2.xml"/><Relationship Id="rId31" Type="http://schemas.openxmlformats.org/officeDocument/2006/relationships/header" Target="header18.xml"/><Relationship Id="rId52" Type="http://schemas.openxmlformats.org/officeDocument/2006/relationships/hyperlink" Target="http://www.ecfr.gov/cgi-bin/text-idx?SID=688869e46912766a00cfa2e7278e0a0a&amp;node=40:14.0.1.1.1.5&amp;rgn=div6" TargetMode="External"/><Relationship Id="rId73" Type="http://schemas.openxmlformats.org/officeDocument/2006/relationships/hyperlink" Target="http://www.ecfr.gov/cgi-bin/text-idx?SID=688869e46912766a00cfa2e7278e0a0a&amp;node=40:14.0.1.1.1.5&amp;rgn=div6" TargetMode="External"/><Relationship Id="rId78" Type="http://schemas.openxmlformats.org/officeDocument/2006/relationships/hyperlink" Target="http://www.ecfr.gov/cgi-bin/text-idx?SID=688869e46912766a00cfa2e7278e0a0a&amp;node=40:14.0.1.1.1.5&amp;rgn=div6" TargetMode="External"/><Relationship Id="rId94" Type="http://schemas.openxmlformats.org/officeDocument/2006/relationships/hyperlink" Target="http://www.ecfr.gov/cgi-bin/text-idx?SID=688869e46912766a00cfa2e7278e0a0a&amp;node=40:14.0.1.1.1.5&amp;rgn=div6" TargetMode="External"/><Relationship Id="rId99" Type="http://schemas.openxmlformats.org/officeDocument/2006/relationships/hyperlink" Target="http://www.ecfr.gov/cgi-bin/text-idx?SID=688869e46912766a00cfa2e7278e0a0a&amp;node=40:14.0.1.1.1.5&amp;rgn=div6" TargetMode="External"/><Relationship Id="rId101" Type="http://schemas.openxmlformats.org/officeDocument/2006/relationships/hyperlink" Target="http://www.ecfr.gov/cgi-bin/text-idx?SID=688869e46912766a00cfa2e7278e0a0a&amp;node=40:14.0.1.1.1.5&amp;rgn=div6" TargetMode="External"/><Relationship Id="rId122" Type="http://schemas.openxmlformats.org/officeDocument/2006/relationships/hyperlink" Target="http://www.ecfr.gov/graphics/pdfs/er31ja13.010.pdf" TargetMode="External"/><Relationship Id="rId143" Type="http://schemas.openxmlformats.org/officeDocument/2006/relationships/image" Target="media/image21.png"/><Relationship Id="rId148" Type="http://schemas.openxmlformats.org/officeDocument/2006/relationships/hyperlink" Target="http://www.ecfr.gov/graphics/pdfs/er31ja13.019.pdf" TargetMode="External"/><Relationship Id="rId164" Type="http://schemas.openxmlformats.org/officeDocument/2006/relationships/hyperlink" Target="http://www.ecfr.gov/cgi-bin/text-idx?SID=688869e46912766a00cfa2e7278e0a0a&amp;node=40:14.0.1.1.1.5&amp;rgn=div6" TargetMode="External"/><Relationship Id="rId169" Type="http://schemas.openxmlformats.org/officeDocument/2006/relationships/hyperlink" Target="http://www.ecfr.gov/cgi-bin/text-idx?SID=688869e46912766a00cfa2e7278e0a0a&amp;node=40:14.0.1.1.1.5&amp;rgn=div6" TargetMode="External"/><Relationship Id="rId185" Type="http://schemas.openxmlformats.org/officeDocument/2006/relationships/hyperlink" Target="http://www.ecfr.gov/cgi-bin/text-idx?SID=688869e46912766a00cfa2e7278e0a0a&amp;node=40:14.0.1.1.1.5&amp;rgn=div6"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www.ecfr.gov/graphics/pdfs/er31ja13.028.pdf" TargetMode="External"/><Relationship Id="rId26"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C33AE-248D-4B29-B685-4D9BDF08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201</Pages>
  <Words>104346</Words>
  <Characters>566178</Characters>
  <Application>Microsoft Office Word</Application>
  <DocSecurity>0</DocSecurity>
  <Lines>4718</Lines>
  <Paragraphs>1338</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669186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maier_g</cp:lastModifiedBy>
  <cp:revision>30</cp:revision>
  <cp:lastPrinted>2012-07-13T17:02:00Z</cp:lastPrinted>
  <dcterms:created xsi:type="dcterms:W3CDTF">2014-05-13T14:42:00Z</dcterms:created>
  <dcterms:modified xsi:type="dcterms:W3CDTF">2014-07-04T14:44:00Z</dcterms:modified>
</cp:coreProperties>
</file>